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Performance Evaluation &amp; Design Quality Assessment</w:t>
      </w:r>
    </w:p>
    <w:p>
      <w:pPr>
        <w:pStyle w:val="BodyText"/>
      </w:pPr>
      <w:r>
        <w:rPr>
          <w:bCs/>
          <w:b/>
        </w:rPr>
        <w:t xml:space="preserve">Role:</w:t>
      </w:r>
      <w:r>
        <w:t xml:space="preserve"> </w:t>
      </w:r>
      <w:r>
        <w:t xml:space="preserve">UX/UI Designer</w:t>
      </w:r>
    </w:p>
    <w:p>
      <w:pPr>
        <w:pStyle w:val="BodyText"/>
      </w:pPr>
      <w:r>
        <w:rPr>
          <w:bCs/>
          <w:b/>
        </w:rPr>
        <w:t xml:space="preserve">Location:</w:t>
      </w:r>
      <w:r>
        <w:t xml:space="preserve"> </w:t>
      </w:r>
      <w:r>
        <w:t xml:space="preserve">Qatar Doha</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Design Lead</w:t>
      </w:r>
    </w:p>
    <w:p>
      <w:pPr>
        <w:pStyle w:val="BodyText"/>
      </w:pPr>
      <w:r>
        <w:rPr>
          <w:bCs/>
          <w:b/>
        </w:rPr>
        <w:t xml:space="preserve">Date:</w:t>
      </w:r>
      <w:r>
        <w:t xml:space="preserve"> </w:t>
      </w:r>
      <w:r>
        <w:t xml:space="preserve">October 24, 2023</w:t>
      </w:r>
    </w:p>
    <w:p>
      <w:pPr>
        <w:pStyle w:val="BodyText"/>
      </w:pPr>
      <w:r>
        <w:rPr>
          <w:bCs/>
          <w:b/>
        </w:rPr>
        <w:t xml:space="preserve">Project Focus:</w:t>
      </w:r>
      <w:r>
        <w:t xml:space="preserve"> </w:t>
      </w:r>
      <w:r>
        <w:t xml:space="preserve">National Digital Services Platform</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design output, and collaborative contributions of the</w:t>
      </w:r>
      <w:r>
        <w:t xml:space="preserve"> </w:t>
      </w:r>
      <w:r>
        <w:rPr>
          <w:bCs/>
          <w:b/>
        </w:rPr>
        <w:t xml:space="preserve">UX/UI Designer</w:t>
      </w:r>
      <w:r>
        <w:t xml:space="preserve"> </w:t>
      </w:r>
      <w:r>
        <w:t xml:space="preserve">assigned to the digital transformation initiative based in</w:t>
      </w:r>
      <w:r>
        <w:t xml:space="preserve"> </w:t>
      </w:r>
      <w:r>
        <w:rPr>
          <w:bCs/>
          <w:b/>
        </w:rPr>
        <w:t xml:space="preserve">Qatar Doha</w:t>
      </w:r>
      <w:r>
        <w:t xml:space="preserve">. The review focuses on the designer's ability to navigate the unique cultural and technological landscape of the region while delivering high-fidelity user experiences. Over the past six months, the designer has demonstrated a strong aptitude for blending global design standards with local user expectations, a critical skill for success in the Qatari market.</w:t>
      </w:r>
    </w:p>
    <w:p>
      <w:pPr>
        <w:pStyle w:val="BodyText"/>
      </w:pPr>
      <w:r>
        <w:t xml:space="preserve">The primary objective of this assessment is to provide actionable feedback that aligns with the organization's strategic goals in</w:t>
      </w:r>
      <w:r>
        <w:t xml:space="preserve"> </w:t>
      </w:r>
      <w:r>
        <w:rPr>
          <w:bCs/>
          <w:b/>
        </w:rPr>
        <w:t xml:space="preserve">Qatar Doha</w:t>
      </w:r>
      <w:r>
        <w:t xml:space="preserve">. The findings indicate a high level of proficiency in user research and interface design, with specific recommendations for enhancing cross-cultural design adaptability and technical implementation speed.</w:t>
      </w:r>
    </w:p>
    <w:bookmarkEnd w:id="21"/>
    <w:bookmarkStart w:id="22" w:name="cultural-adaptability-and-localization"/>
    <w:p>
      <w:pPr>
        <w:pStyle w:val="Heading2"/>
      </w:pPr>
      <w:r>
        <w:t xml:space="preserve">2. Cultural Adaptability and Localization</w:t>
      </w:r>
    </w:p>
    <w:p>
      <w:pPr>
        <w:pStyle w:val="FirstParagraph"/>
      </w:pPr>
      <w:r>
        <w:t xml:space="preserve">Operating as a</w:t>
      </w:r>
      <w:r>
        <w:t xml:space="preserve"> </w:t>
      </w:r>
      <w:r>
        <w:rPr>
          <w:bCs/>
          <w:b/>
        </w:rPr>
        <w:t xml:space="preserve">UX/UI Designer</w:t>
      </w:r>
      <w:r>
        <w:t xml:space="preserve"> </w:t>
      </w:r>
      <w:r>
        <w:t xml:space="preserve">in</w:t>
      </w:r>
      <w:r>
        <w:t xml:space="preserve"> </w:t>
      </w:r>
      <w:r>
        <w:rPr>
          <w:bCs/>
          <w:b/>
        </w:rPr>
        <w:t xml:space="preserve">Qatar Doha</w:t>
      </w:r>
      <w:r>
        <w:t xml:space="preserve"> </w:t>
      </w:r>
      <w:r>
        <w:t xml:space="preserve">requires more than just technical skill; it demands a deep understanding of local cultural nuances. This</w:t>
      </w:r>
      <w:r>
        <w:t xml:space="preserve"> </w:t>
      </w:r>
      <w:r>
        <w:rPr>
          <w:bCs/>
          <w:b/>
        </w:rPr>
        <w:t xml:space="preserve">Peer Review Report</w:t>
      </w:r>
      <w:r>
        <w:t xml:space="preserve"> </w:t>
      </w:r>
      <w:r>
        <w:t xml:space="preserve">highlights the designer's commendable effort in localizing content for the Qatari audience. Specifically, the implementation of Right-to-Left (RTL) layouts for Arabic interfaces was executed with precision, ensuring that the visual hierarchy remained intact and intuitive for native speakers.</w:t>
      </w:r>
    </w:p>
    <w:p>
      <w:pPr>
        <w:pStyle w:val="BodyText"/>
      </w:pPr>
      <w:r>
        <w:t xml:space="preserve">The designer successfully incorporated culturally relevant color palettes and iconography that resonate with users in the Gulf Cooperation Council (GCC) region. For instance, the avoidance of culturally insensitive symbols and the use of imagery that reflects the diverse yet respectful social fabric of</w:t>
      </w:r>
      <w:r>
        <w:t xml:space="preserve"> </w:t>
      </w:r>
      <w:r>
        <w:rPr>
          <w:bCs/>
          <w:b/>
        </w:rPr>
        <w:t xml:space="preserve">Qatar Doha</w:t>
      </w:r>
      <w:r>
        <w:t xml:space="preserve"> </w:t>
      </w:r>
      <w:r>
        <w:t xml:space="preserve">were noted as significant strengths. This attention to detail ensures that the digital products feel native to the region rather than imported, fostering greater user trust and engagement.</w:t>
      </w:r>
    </w:p>
    <w:bookmarkEnd w:id="22"/>
    <w:bookmarkStart w:id="23" w:name="user-research-and-empathy"/>
    <w:p>
      <w:pPr>
        <w:pStyle w:val="Heading2"/>
      </w:pPr>
      <w:r>
        <w:t xml:space="preserve">3. User Research and Empathy</w:t>
      </w:r>
    </w:p>
    <w:p>
      <w:pPr>
        <w:pStyle w:val="FirstParagraph"/>
      </w:pPr>
      <w:r>
        <w:t xml:space="preserve">A core competency of any effective</w:t>
      </w:r>
      <w:r>
        <w:t xml:space="preserve"> </w:t>
      </w:r>
      <w:r>
        <w:rPr>
          <w:bCs/>
          <w:b/>
        </w:rPr>
        <w:t xml:space="preserve">UX/UI Designer</w:t>
      </w:r>
      <w:r>
        <w:t xml:space="preserve"> </w:t>
      </w:r>
      <w:r>
        <w:t xml:space="preserve">is the ability to conduct rigorous user research. In the context of this</w:t>
      </w:r>
      <w:r>
        <w:t xml:space="preserve"> </w:t>
      </w:r>
      <w:r>
        <w:rPr>
          <w:bCs/>
          <w:b/>
        </w:rPr>
        <w:t xml:space="preserve">Peer Review Report</w:t>
      </w:r>
      <w:r>
        <w:t xml:space="preserve">, the designer's approach to understanding the Qatari user base was thorough. They conducted contextual inquiries and usability testing sessions within</w:t>
      </w:r>
      <w:r>
        <w:t xml:space="preserve"> </w:t>
      </w:r>
      <w:r>
        <w:rPr>
          <w:bCs/>
          <w:b/>
        </w:rPr>
        <w:t xml:space="preserve">Qatar Doha</w:t>
      </w:r>
      <w:r>
        <w:t xml:space="preserve">, engaging with a diverse demographic ranging from local residents to expatriates.</w:t>
      </w:r>
    </w:p>
    <w:p>
      <w:pPr>
        <w:pStyle w:val="BodyText"/>
      </w:pPr>
      <w:r>
        <w:t xml:space="preserve">The insights gathered from these sessions directly influenced the information architecture of the platform. The designer identified specific pain points related to mobile data usage and connectivity speeds common in the region, leading to the optimization of asset sizes and load times. This data-driven approach demonstrates a high level of empathy and a commitment to solving real-world problems for users in</w:t>
      </w:r>
      <w:r>
        <w:t xml:space="preserve"> </w:t>
      </w:r>
      <w:r>
        <w:rPr>
          <w:bCs/>
          <w:b/>
        </w:rPr>
        <w:t xml:space="preserve">Qatar Doha</w:t>
      </w:r>
      <w:r>
        <w:t xml:space="preserve">.</w:t>
      </w:r>
    </w:p>
    <w:bookmarkEnd w:id="23"/>
    <w:bookmarkStart w:id="24" w:name="visual-design-and-interface-quality"/>
    <w:p>
      <w:pPr>
        <w:pStyle w:val="Heading2"/>
      </w:pPr>
      <w:r>
        <w:t xml:space="preserve">4. Visual Design and Interface Quality</w:t>
      </w:r>
    </w:p>
    <w:p>
      <w:pPr>
        <w:pStyle w:val="FirstParagraph"/>
      </w:pPr>
      <w:r>
        <w:t xml:space="preserve">From a visual perspective, the</w:t>
      </w:r>
      <w:r>
        <w:t xml:space="preserve"> </w:t>
      </w:r>
      <w:r>
        <w:rPr>
          <w:bCs/>
          <w:b/>
        </w:rPr>
        <w:t xml:space="preserve">UX/UI Designer</w:t>
      </w:r>
      <w:r>
        <w:t xml:space="preserve"> </w:t>
      </w:r>
      <w:r>
        <w:t xml:space="preserve">has maintained a consistent and modern aesthetic that aligns with the organization's brand identity. The</w:t>
      </w:r>
      <w:r>
        <w:t xml:space="preserve"> </w:t>
      </w:r>
      <w:r>
        <w:rPr>
          <w:bCs/>
          <w:b/>
        </w:rPr>
        <w:t xml:space="preserve">Peer Review Report</w:t>
      </w:r>
      <w:r>
        <w:t xml:space="preserve"> </w:t>
      </w:r>
      <w:r>
        <w:t xml:space="preserve">notes that the design system created is scalable and robust. The use of clean typography, ample white space, and a restrained color scheme reflects the sophisticated digital environment of</w:t>
      </w:r>
      <w:r>
        <w:t xml:space="preserve"> </w:t>
      </w:r>
      <w:r>
        <w:rPr>
          <w:bCs/>
          <w:b/>
        </w:rPr>
        <w:t xml:space="preserve">Qatar Doha</w:t>
      </w:r>
      <w:r>
        <w:t xml:space="preserve">.</w:t>
      </w:r>
    </w:p>
    <w:p>
      <w:pPr>
        <w:pStyle w:val="BodyText"/>
      </w:pPr>
      <w:r>
        <w:t xml:space="preserve">The designer effectively utilized micro-interactions to enhance user feedback without cluttering the interface. This balance between functionality and aesthetics is crucial for maintaining user engagement. Furthermore, the accessibility standards were rigorously applied, ensuring that the platform is usable by individuals with disabilities, which is a growing priority for digital services in Qatar.</w:t>
      </w:r>
    </w:p>
    <w:bookmarkEnd w:id="24"/>
    <w:bookmarkStart w:id="25" w:name="collaboration-and-communication"/>
    <w:p>
      <w:pPr>
        <w:pStyle w:val="Heading2"/>
      </w:pPr>
      <w:r>
        <w:t xml:space="preserve">5. Collaboration and Communication</w:t>
      </w:r>
    </w:p>
    <w:p>
      <w:pPr>
        <w:pStyle w:val="FirstParagraph"/>
      </w:pPr>
      <w:r>
        <w:t xml:space="preserve">Working in a multicultural hub like</w:t>
      </w:r>
      <w:r>
        <w:t xml:space="preserve"> </w:t>
      </w:r>
      <w:r>
        <w:rPr>
          <w:bCs/>
          <w:b/>
        </w:rPr>
        <w:t xml:space="preserve">Qatar Doha</w:t>
      </w:r>
      <w:r>
        <w:t xml:space="preserve"> </w:t>
      </w:r>
      <w:r>
        <w:t xml:space="preserve">requires exceptional communication skills. This</w:t>
      </w:r>
      <w:r>
        <w:t xml:space="preserve"> </w:t>
      </w:r>
      <w:r>
        <w:rPr>
          <w:bCs/>
          <w:b/>
        </w:rPr>
        <w:t xml:space="preserve">Peer Review Report</w:t>
      </w:r>
      <w:r>
        <w:t xml:space="preserve"> </w:t>
      </w:r>
      <w:r>
        <w:t xml:space="preserve">assesses the</w:t>
      </w:r>
      <w:r>
        <w:t xml:space="preserve"> </w:t>
      </w:r>
      <w:r>
        <w:rPr>
          <w:bCs/>
          <w:b/>
        </w:rPr>
        <w:t xml:space="preserve">UX/UI Designer</w:t>
      </w:r>
      <w:r>
        <w:t xml:space="preserve">'s ability to collaborate with cross-functional teams, including developers, product managers, and stakeholders from various cultural backgrounds. The designer has been proactive in presenting design rationales and facilitating workshops that bridge the gap between technical constraints and user needs.</w:t>
      </w:r>
    </w:p>
    <w:p>
      <w:pPr>
        <w:pStyle w:val="BodyText"/>
      </w:pPr>
      <w:r>
        <w:t xml:space="preserve">Feedback from engineering teams indicates that the design handoffs were clear and well-documented, reducing the time required for implementation. The designer's ability to articulate design decisions in a way that is understandable to non-design stakeholders has been particularly valuable in driving consensus and project momentum.</w:t>
      </w:r>
    </w:p>
    <w:bookmarkEnd w:id="25"/>
    <w:bookmarkStart w:id="26" w:name="areas-for-improvement"/>
    <w:p>
      <w:pPr>
        <w:pStyle w:val="Heading2"/>
      </w:pPr>
      <w:r>
        <w:t xml:space="preserve">6.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UX/UI Designer</w:t>
      </w:r>
      <w:r>
        <w:t xml:space="preserve"> </w:t>
      </w:r>
      <w:r>
        <w:t xml:space="preserve">can further enhance their impact in</w:t>
      </w:r>
      <w:r>
        <w:t xml:space="preserve"> </w:t>
      </w:r>
      <w:r>
        <w:rPr>
          <w:bCs/>
          <w:b/>
        </w:rPr>
        <w:t xml:space="preserve">Qatar Doha</w:t>
      </w:r>
      <w:r>
        <w:t xml:space="preserve">:</w:t>
      </w:r>
    </w:p>
    <w:p>
      <w:pPr>
        <w:numPr>
          <w:ilvl w:val="0"/>
          <w:numId w:val="1001"/>
        </w:numPr>
        <w:pStyle w:val="Compact"/>
      </w:pPr>
      <w:r>
        <w:rPr>
          <w:bCs/>
          <w:b/>
        </w:rPr>
        <w:t xml:space="preserve">Prototyping Fidelity:</w:t>
      </w:r>
      <w:r>
        <w:t xml:space="preserve"> </w:t>
      </w:r>
      <w:r>
        <w:t xml:space="preserve">Increasing the interactivity of prototypes during the early stages of design could help stakeholders visualize the user journey more effectively, reducing revision cycles later in the development process.</w:t>
      </w:r>
    </w:p>
    <w:p>
      <w:pPr>
        <w:numPr>
          <w:ilvl w:val="0"/>
          <w:numId w:val="1001"/>
        </w:numPr>
        <w:pStyle w:val="Compact"/>
      </w:pPr>
      <w:r>
        <w:rPr>
          <w:bCs/>
          <w:b/>
        </w:rPr>
        <w:t xml:space="preserve">Technical Feasibility:</w:t>
      </w:r>
      <w:r>
        <w:t xml:space="preserve"> </w:t>
      </w:r>
      <w:r>
        <w:t xml:space="preserve">Engaging with developers earlier in the design process to discuss the feasibility of complex animations or interactions within the current tech stack used in the region.</w:t>
      </w:r>
    </w:p>
    <w:p>
      <w:pPr>
        <w:numPr>
          <w:ilvl w:val="0"/>
          <w:numId w:val="1001"/>
        </w:numPr>
        <w:pStyle w:val="Compact"/>
      </w:pPr>
      <w:r>
        <w:rPr>
          <w:bCs/>
          <w:b/>
        </w:rPr>
        <w:t xml:space="preserve">Local Market Trends:</w:t>
      </w:r>
      <w:r>
        <w:t xml:space="preserve"> </w:t>
      </w:r>
      <w:r>
        <w:t xml:space="preserve">Continuously monitoring emerging design trends specific to the Middle East to ensure the platform remains competitive and innovative.</w:t>
      </w:r>
    </w:p>
    <w:bookmarkEnd w:id="26"/>
    <w:bookmarkStart w:id="27" w:name="conclusion-and-rating"/>
    <w:p>
      <w:pPr>
        <w:pStyle w:val="Heading2"/>
      </w:pPr>
      <w:r>
        <w:t xml:space="preserve">7. Conclusion and Rating</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the team operating in</w:t>
      </w:r>
      <w:r>
        <w:t xml:space="preserve"> </w:t>
      </w:r>
      <w:r>
        <w:rPr>
          <w:bCs/>
          <w:b/>
        </w:rPr>
        <w:t xml:space="preserve">Qatar Doha</w:t>
      </w:r>
      <w:r>
        <w:t xml:space="preserve">. Their ability to merge global best practices with local cultural sensitivity has resulted in a user experience that is both functional and respectful of the regional context. The designer has shown a strong commitment to excellence and continuous improvement.</w:t>
      </w:r>
    </w:p>
    <w:p>
      <w:pPr>
        <w:pStyle w:val="BodyText"/>
      </w:pPr>
      <w:r>
        <w:t xml:space="preserve">Overall Performance Rating: Exceeds Expectations (4.5/5.0)</w:t>
      </w:r>
    </w:p>
    <w:p>
      <w:pPr>
        <w:pStyle w:val="BodyText"/>
      </w:pPr>
      <w:r>
        <w:t xml:space="preserve">We recommend continued professional development opportunities focused on advanced interaction design and leadership skills to further support their growth within the organization.</w:t>
      </w:r>
    </w:p>
    <w:bookmarkEnd w:id="27"/>
    <w:p>
      <w:pPr>
        <w:pStyle w:val="BodyText"/>
      </w:pPr>
      <w:r>
        <w:t xml:space="preserve">© 2023 Organization Name. Confidential Document.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Qatar Doha</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