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r>
        <w:t xml:space="preserve"> </w:t>
      </w:r>
      <w:r>
        <w:t xml:space="preserve">in</w:t>
      </w:r>
      <w:r>
        <w:t xml:space="preserve"> </w:t>
      </w:r>
      <w:r>
        <w:t xml:space="preserve">Frankfurt,</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Veterinary Clinical Practice and Professional Standards</w:t>
      </w:r>
    </w:p>
    <w:p>
      <w:pPr>
        <w:pStyle w:val="BodyText"/>
      </w:pPr>
      <w:r>
        <w:rPr>
          <w:bCs/>
          <w:b/>
        </w:rPr>
        <w:t xml:space="preserve">Location:</w:t>
      </w:r>
      <w:r>
        <w:t xml:space="preserve"> </w:t>
      </w:r>
      <w:r>
        <w:t xml:space="preserve">Frankfurt am Main, Germany</w:t>
      </w:r>
    </w:p>
    <w:p>
      <w:pPr>
        <w:pStyle w:val="BodyText"/>
      </w:pPr>
      <w:r>
        <w:rPr>
          <w:bCs/>
          <w:b/>
        </w:rPr>
        <w:t xml:space="preserve">Date:</w:t>
      </w:r>
      <w:r>
        <w:t xml:space="preserve"> </w:t>
      </w:r>
      <w:r>
        <w:t xml:space="preserve">October 24, 2023</w:t>
      </w:r>
    </w:p>
    <w:p>
      <w:pPr>
        <w:pStyle w:val="BodyText"/>
      </w:pPr>
      <w:r>
        <w:rPr>
          <w:bCs/>
          <w:b/>
        </w:rPr>
        <w:t xml:space="preserve">Reviewer ID:</w:t>
      </w:r>
      <w:r>
        <w:t xml:space="preserve"> </w:t>
      </w:r>
      <w:r>
        <w:t xml:space="preserve">PR-DE-FRA-2023-089</w:t>
      </w:r>
    </w:p>
    <w:bookmarkEnd w:id="20"/>
    <w:bookmarkStart w:id="21" w:name="executive-summary"/>
    <w:p>
      <w:pPr>
        <w:pStyle w:val="Heading2"/>
      </w:pPr>
      <w:r>
        <w:t xml:space="preserve">1. Executive Summary</w:t>
      </w:r>
    </w:p>
    <w:p>
      <w:pPr>
        <w:pStyle w:val="FirstParagraph"/>
      </w:pPr>
      <w:r>
        <w:t xml:space="preserve">This Peer Review Report evaluates the clinical performance, ethical adherence, and operational standards of a veterinary practice located in Frankfurt am Main, Germany. The review was conducted in accordance with the guidelines set forth by the</w:t>
      </w:r>
      <w:r>
        <w:t xml:space="preserve"> </w:t>
      </w:r>
      <w:r>
        <w:rPr>
          <w:iCs/>
          <w:i/>
        </w:rPr>
        <w:t xml:space="preserve">Landesärztekammer Hessen</w:t>
      </w:r>
      <w:r>
        <w:t xml:space="preserve"> </w:t>
      </w:r>
      <w:r>
        <w:t xml:space="preserve">(State Medical Association of Hesse) and the</w:t>
      </w:r>
      <w:r>
        <w:t xml:space="preserve"> </w:t>
      </w:r>
      <w:r>
        <w:rPr>
          <w:iCs/>
          <w:i/>
        </w:rPr>
        <w:t xml:space="preserve">Deutscher Tierärztekammer</w:t>
      </w:r>
      <w:r>
        <w:t xml:space="preserve"> </w:t>
      </w:r>
      <w:r>
        <w:t xml:space="preserve">(German Veterinary Medical Association). The primary objective was to assess the quality of care provided to companion animals, ensuring alignment with the rigorous expectations of the German healthcare system and the specific regulatory environment of Frankfurt.</w:t>
      </w:r>
    </w:p>
    <w:bookmarkEnd w:id="21"/>
    <w:bookmarkStart w:id="22" w:name="introduction-and-scope"/>
    <w:p>
      <w:pPr>
        <w:pStyle w:val="Heading2"/>
      </w:pPr>
      <w:r>
        <w:t xml:space="preserve">2. Introduction and Scope</w:t>
      </w:r>
    </w:p>
    <w:p>
      <w:pPr>
        <w:pStyle w:val="FirstParagraph"/>
      </w:pPr>
      <w:r>
        <w:t xml:space="preserve">The veterinary profession in Germany is characterized by high standards of education, continuous professional development, and strict regulatory oversight. Frankfurt am Main, as a major economic and cultural hub, presents a unique environment for veterinary practice. The city's diverse population and high density of pet ownership require veterinarians to demonstrate exceptional clinical competence, cultural sensitivity, and efficient resource management.</w:t>
      </w:r>
    </w:p>
    <w:p>
      <w:pPr>
        <w:pStyle w:val="BodyText"/>
      </w:pPr>
      <w:r>
        <w:t xml:space="preserve">This review focuses on the following key areas:</w:t>
      </w:r>
    </w:p>
    <w:p>
      <w:pPr>
        <w:numPr>
          <w:ilvl w:val="0"/>
          <w:numId w:val="1001"/>
        </w:numPr>
        <w:pStyle w:val="Compact"/>
      </w:pPr>
      <w:r>
        <w:t xml:space="preserve">Clinical diagnostic accuracy and treatment protocols.</w:t>
      </w:r>
    </w:p>
    <w:p>
      <w:pPr>
        <w:numPr>
          <w:ilvl w:val="0"/>
          <w:numId w:val="1001"/>
        </w:numPr>
        <w:pStyle w:val="Compact"/>
      </w:pPr>
      <w:r>
        <w:t xml:space="preserve">Compliance with German animal welfare laws (</w:t>
      </w:r>
      <w:r>
        <w:rPr>
          <w:iCs/>
          <w:i/>
        </w:rPr>
        <w:t xml:space="preserve">Tierschutzgesetz</w:t>
      </w:r>
      <w:r>
        <w:t xml:space="preserve">).</w:t>
      </w:r>
    </w:p>
    <w:p>
      <w:pPr>
        <w:numPr>
          <w:ilvl w:val="0"/>
          <w:numId w:val="1001"/>
        </w:numPr>
        <w:pStyle w:val="Compact"/>
      </w:pPr>
      <w:r>
        <w:t xml:space="preserve">Hygiene and biosecurity measures.</w:t>
      </w:r>
    </w:p>
    <w:p>
      <w:pPr>
        <w:numPr>
          <w:ilvl w:val="0"/>
          <w:numId w:val="1001"/>
        </w:numPr>
        <w:pStyle w:val="Compact"/>
      </w:pPr>
      <w:r>
        <w:t xml:space="preserve">Client communication and informed consent processes.</w:t>
      </w:r>
    </w:p>
    <w:p>
      <w:pPr>
        <w:numPr>
          <w:ilvl w:val="0"/>
          <w:numId w:val="1001"/>
        </w:numPr>
        <w:pStyle w:val="Compact"/>
      </w:pPr>
      <w:r>
        <w:t xml:space="preserve">Integration of advanced diagnostic technologies.</w:t>
      </w:r>
    </w:p>
    <w:bookmarkEnd w:id="22"/>
    <w:bookmarkStart w:id="23" w:name="X4a5ef5890aff466c529fceb004240c8b12bbdbf"/>
    <w:p>
      <w:pPr>
        <w:pStyle w:val="Heading2"/>
      </w:pPr>
      <w:r>
        <w:t xml:space="preserve">3. Clinical Competence and Diagnostic Standards</w:t>
      </w:r>
    </w:p>
    <w:p>
      <w:pPr>
        <w:pStyle w:val="FirstParagraph"/>
      </w:pPr>
      <w:r>
        <w:t xml:space="preserve">The reviewed veterinarian demonstrated a high level of clinical expertise, consistent with the expectations of a specialist practice in Frankfurt. Case files were examined to assess diagnostic reasoning, treatment planning, and outcome monitoring. The veterinarian effectively utilized advanced diagnostic tools, including digital radiography, ultrasound, and in-house laboratory testing, which are standard in modern German veterinary clinics.</w:t>
      </w:r>
    </w:p>
    <w:p>
      <w:pPr>
        <w:pStyle w:val="BodyText"/>
      </w:pPr>
      <w:r>
        <w:t xml:space="preserve">Particular attention was given to the management of complex cases, such as chronic kidney disease in felines and orthopedic conditions in canines. The treatment protocols aligned with current evidence-based guidelines published by the</w:t>
      </w:r>
      <w:r>
        <w:t xml:space="preserve"> </w:t>
      </w:r>
      <w:r>
        <w:rPr>
          <w:iCs/>
          <w:i/>
        </w:rPr>
        <w:t xml:space="preserve">Deutsche Gesellschaft für Kleintiermedizin</w:t>
      </w:r>
      <w:r>
        <w:t xml:space="preserve"> </w:t>
      </w:r>
      <w:r>
        <w:t xml:space="preserve">(German Society for Small Animal Medicine). The veterinarian showed a proactive approach to pain management, adhering to the strict analgesic standards mandated by German law.</w:t>
      </w:r>
    </w:p>
    <w:bookmarkEnd w:id="23"/>
    <w:bookmarkStart w:id="24" w:name="regulatory-compliance-and-animal-welfare"/>
    <w:p>
      <w:pPr>
        <w:pStyle w:val="Heading2"/>
      </w:pPr>
      <w:r>
        <w:t xml:space="preserve">4. Regulatory Compliance and Animal Welfare</w:t>
      </w:r>
    </w:p>
    <w:p>
      <w:pPr>
        <w:pStyle w:val="FirstParagraph"/>
      </w:pPr>
      <w:r>
        <w:t xml:space="preserve">Compliance with the</w:t>
      </w:r>
      <w:r>
        <w:t xml:space="preserve"> </w:t>
      </w:r>
      <w:r>
        <w:rPr>
          <w:iCs/>
          <w:i/>
        </w:rPr>
        <w:t xml:space="preserve">Tierschutzgesetz</w:t>
      </w:r>
      <w:r>
        <w:t xml:space="preserve"> </w:t>
      </w:r>
      <w:r>
        <w:t xml:space="preserve">(Animal Welfare Act) is paramount in Germany. The review confirmed that the practice strictly adheres to all legal requirements regarding animal handling, restraint, and euthanasia. The veterinarian demonstrated a thorough understanding of the legal obligations concerning the use of controlled substances and the documentation of medical interventions.</w:t>
      </w:r>
    </w:p>
    <w:p>
      <w:pPr>
        <w:pStyle w:val="BodyText"/>
      </w:pPr>
      <w:r>
        <w:t xml:space="preserve">In Frankfurt, where animal welfare organizations are highly active and influential, the practice's commitment to ethical care is particularly significant. The veterinarian was observed to prioritize the well-being of the animal in all decision-making processes, ensuring that treatments were not only medically indicated but also humane and proportionate.</w:t>
      </w:r>
    </w:p>
    <w:bookmarkEnd w:id="24"/>
    <w:bookmarkStart w:id="25" w:name="hygiene-and-biosecurity"/>
    <w:p>
      <w:pPr>
        <w:pStyle w:val="Heading2"/>
      </w:pPr>
      <w:r>
        <w:t xml:space="preserve">5. Hygiene and Biosecurity</w:t>
      </w:r>
    </w:p>
    <w:p>
      <w:pPr>
        <w:pStyle w:val="FirstParagraph"/>
      </w:pPr>
      <w:r>
        <w:t xml:space="preserve">The physical environment of the practice was evaluated for cleanliness, organization, and biosecurity. The facility met the high hygiene standards expected in German healthcare settings. Disinfection protocols for examination rooms, surgical suites, and waiting areas were clearly documented and consistently followed. The veterinarian maintained strict separation between infectious and non-infectious cases, minimizing the risk of cross-contamination.</w:t>
      </w:r>
    </w:p>
    <w:p>
      <w:pPr>
        <w:pStyle w:val="BodyText"/>
      </w:pPr>
      <w:r>
        <w:t xml:space="preserve">Waste management procedures, including the disposal of sharps and biological waste, were in full compliance with local Frankfurt regulations and federal guidelines. The practice's commitment to environmental sustainability was also noted, with efforts to reduce plastic waste and properly recycle medical materials.</w:t>
      </w:r>
    </w:p>
    <w:bookmarkEnd w:id="25"/>
    <w:bookmarkStart w:id="26" w:name="client-communication-and-professionalism"/>
    <w:p>
      <w:pPr>
        <w:pStyle w:val="Heading2"/>
      </w:pPr>
      <w:r>
        <w:t xml:space="preserve">6. Client Communication and Professionalism</w:t>
      </w:r>
    </w:p>
    <w:p>
      <w:pPr>
        <w:pStyle w:val="FirstParagraph"/>
      </w:pPr>
      <w:r>
        <w:t xml:space="preserve">Effective communication is essential in veterinary practice, particularly in a multicultural city like Frankfurt. The veterinarian demonstrated excellent communication skills, providing clear and compassionate explanations of diagnoses, treatment options, and prognoses. Informed consent was obtained for all procedures, with detailed documentation in both German and English where necessary.</w:t>
      </w:r>
    </w:p>
    <w:p>
      <w:pPr>
        <w:pStyle w:val="BodyText"/>
      </w:pPr>
      <w:r>
        <w:t xml:space="preserve">The review included feedback from clients, who praised the veterinarian's professionalism, empathy, and willingness to address concerns. The practice's administrative staff also contributed to a positive client experience, with efficient scheduling and transparent billing practices.</w:t>
      </w:r>
    </w:p>
    <w:bookmarkEnd w:id="26"/>
    <w:bookmarkStart w:id="27" w:name="recommendations"/>
    <w:p>
      <w:pPr>
        <w:pStyle w:val="Heading2"/>
      </w:pPr>
      <w:r>
        <w:t xml:space="preserve">7. Recommendations</w:t>
      </w:r>
    </w:p>
    <w:p>
      <w:pPr>
        <w:pStyle w:val="FirstParagraph"/>
      </w:pPr>
      <w:r>
        <w:t xml:space="preserve">While the practice performed at a high level, the following recommendations are made to further enhance quality of care:</w:t>
      </w:r>
    </w:p>
    <w:p>
      <w:pPr>
        <w:numPr>
          <w:ilvl w:val="0"/>
          <w:numId w:val="1002"/>
        </w:numPr>
        <w:pStyle w:val="Compact"/>
      </w:pPr>
      <w:r>
        <w:t xml:space="preserve">Implement a formalized continuing education program for all staff, focusing on emerging trends in veterinary medicine and client communication.</w:t>
      </w:r>
    </w:p>
    <w:p>
      <w:pPr>
        <w:numPr>
          <w:ilvl w:val="0"/>
          <w:numId w:val="1002"/>
        </w:numPr>
        <w:pStyle w:val="Compact"/>
      </w:pPr>
      <w:r>
        <w:t xml:space="preserve">Enhance digital record-keeping systems to improve data security and accessibility, in line with Germany's evolving data protection laws (GDPR).</w:t>
      </w:r>
    </w:p>
    <w:p>
      <w:pPr>
        <w:numPr>
          <w:ilvl w:val="0"/>
          <w:numId w:val="1002"/>
        </w:numPr>
        <w:pStyle w:val="Compact"/>
      </w:pPr>
      <w:r>
        <w:t xml:space="preserve">Consider expanding telemedicine services to provide convenient follow-up care for clients in the greater Frankfurt area.</w:t>
      </w:r>
    </w:p>
    <w:bookmarkEnd w:id="27"/>
    <w:bookmarkStart w:id="28" w:name="conclusion"/>
    <w:p>
      <w:pPr>
        <w:pStyle w:val="Heading2"/>
      </w:pPr>
      <w:r>
        <w:t xml:space="preserve">8. Conclusion</w:t>
      </w:r>
    </w:p>
    <w:p>
      <w:pPr>
        <w:pStyle w:val="FirstParagraph"/>
      </w:pPr>
      <w:r>
        <w:t xml:space="preserve">This Peer Review Report concludes that the veterinary practice in Frankfurt am Main meets and, in many areas, exceeds the professional standards expected in Germany. The veterinarian's commitment to clinical excellence, animal welfare, and client satisfaction is commendable. The practice serves as a model of high-quality veterinary care in a dynamic urban environment. Continued adherence to these standards will ensure the practice remains a trusted resource for pet owners in Frankfurt and beyond.</w:t>
      </w:r>
    </w:p>
    <w:bookmarkEnd w:id="28"/>
    <w:p>
      <w:pPr>
        <w:pStyle w:val="BodyText"/>
      </w:pPr>
      <w:r>
        <w:rPr>
          <w:bCs/>
          <w:b/>
        </w:rPr>
        <w:t xml:space="preserve">Reviewed by:</w:t>
      </w:r>
    </w:p>
    <w:p>
      <w:pPr>
        <w:pStyle w:val="BodyText"/>
      </w:pPr>
      <w:r>
        <w:t xml:space="preserve">Dr. [Reviewer Name]</w:t>
      </w:r>
    </w:p>
    <w:p>
      <w:pPr>
        <w:pStyle w:val="BodyText"/>
      </w:pPr>
      <w:r>
        <w:t xml:space="preserve">Board-Certified Veterinary Specialist</w:t>
      </w:r>
    </w:p>
    <w:p>
      <w:pPr>
        <w:pStyle w:val="BodyText"/>
      </w:pPr>
      <w:r>
        <w:t xml:space="preserve">Member, German Veterinary Medical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 in Frankfurt, Germany</dc:title>
  <dc:creator/>
  <dc:language>en</dc:language>
  <cp:keywords/>
  <dcterms:created xsi:type="dcterms:W3CDTF">2026-10-10T01:24:38Z</dcterms:created>
  <dcterms:modified xsi:type="dcterms:W3CDTF">2026-10-10T01:24:38Z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