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t xml:space="preserve">Comprehensive Clinical and Operational Assessment</w:t>
      </w:r>
    </w:p>
    <w:p>
      <w:pPr>
        <w:pStyle w:val="BodyText"/>
      </w:pPr>
      <w:r>
        <w:rPr>
          <w:bCs/>
          <w:b/>
        </w:rPr>
        <w:t xml:space="preserve">Subject:</w:t>
      </w:r>
      <w:r>
        <w:t xml:space="preserve"> </w:t>
      </w:r>
      <w:r>
        <w:t xml:space="preserve">Veterinary Practitioner</w:t>
      </w:r>
    </w:p>
    <w:p>
      <w:pPr>
        <w:pStyle w:val="BodyText"/>
      </w:pPr>
      <w:r>
        <w:rPr>
          <w:bCs/>
          <w:b/>
        </w:rPr>
        <w:t xml:space="preserve">Location:</w:t>
      </w:r>
      <w:r>
        <w:t xml:space="preserve"> </w:t>
      </w:r>
      <w:r>
        <w:t xml:space="preserve">Riyadh, Saudi Arabia</w:t>
      </w:r>
    </w:p>
    <w:p>
      <w:pPr>
        <w:pStyle w:val="BodyText"/>
      </w:pPr>
      <w:r>
        <w:rPr>
          <w:bCs/>
          <w:b/>
        </w:rPr>
        <w:t xml:space="preserve">Date of Review:</w:t>
      </w:r>
      <w:r>
        <w:t xml:space="preserve"> </w:t>
      </w:r>
      <w:r>
        <w:t xml:space="preserve">October 24, 2023</w:t>
      </w:r>
    </w:p>
    <w:p>
      <w:pPr>
        <w:pStyle w:val="BodyText"/>
      </w:pPr>
      <w:r>
        <w:rPr>
          <w:bCs/>
          <w:b/>
        </w:rPr>
        <w:t xml:space="preserve">Review Board:</w:t>
      </w:r>
      <w:r>
        <w:t xml:space="preserve"> </w:t>
      </w:r>
      <w:r>
        <w:t xml:space="preserve">Riyadh Veterinary Quality Assurance Committee</w:t>
      </w:r>
    </w:p>
    <w:p>
      <w:pPr>
        <w:pStyle w:val="BodyText"/>
      </w:pPr>
      <w:r>
        <w:rPr>
          <w:bCs/>
          <w:b/>
        </w:rPr>
        <w:t xml:space="preserve">License No:</w:t>
      </w:r>
      <w:r>
        <w:t xml:space="preserve"> </w:t>
      </w:r>
      <w:r>
        <w:t xml:space="preserve">SVB-RYD-8842-X</w:t>
      </w:r>
    </w:p>
    <w:p>
      <w:pPr>
        <w:pStyle w:val="BodyText"/>
      </w:pPr>
      <w:r>
        <w:rPr>
          <w:bCs/>
          <w:b/>
        </w:rPr>
        <w:t xml:space="preserve">Facility:</w:t>
      </w:r>
      <w:r>
        <w:t xml:space="preserve"> </w:t>
      </w:r>
      <w:r>
        <w:t xml:space="preserve">Al Malqa Advanced Animal Hospital</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clinical competence, ethical standards, and operational compliance of a licensed</w:t>
      </w:r>
      <w:r>
        <w:t xml:space="preserve"> </w:t>
      </w:r>
      <w:r>
        <w:rPr>
          <w:bCs/>
          <w:b/>
        </w:rPr>
        <w:t xml:space="preserve">Veterinarian</w:t>
      </w:r>
      <w:r>
        <w:t xml:space="preserve"> </w:t>
      </w:r>
      <w:r>
        <w:t xml:space="preserve">practicing within the Kingdom of</w:t>
      </w:r>
      <w:r>
        <w:t xml:space="preserve"> </w:t>
      </w:r>
      <w:r>
        <w:rPr>
          <w:bCs/>
          <w:b/>
        </w:rPr>
        <w:t xml:space="preserve">Saudi Arabia, Riyadh</w:t>
      </w:r>
      <w:r>
        <w:t xml:space="preserve">. The review aligns with the regulations set forth by the Saudi Food and Drug Authority (SFDA) and the Saudi Veterinary Council. The primary objective is to ensure that veterinary services in Riyadh meet international standards of animal welfare, diagnostic accuracy, and client communication, reflecting the Kingdom's Vision 2030 goals for professional excellence.</w:t>
      </w:r>
    </w:p>
    <w:p>
      <w:pPr>
        <w:pStyle w:val="BodyText"/>
      </w:pPr>
      <w:r>
        <w:t xml:space="preserve">The assessment covers a six-month period of clinical practice, focusing on small animal medicine and surgery. The</w:t>
      </w:r>
      <w:r>
        <w:t xml:space="preserve"> </w:t>
      </w:r>
      <w:r>
        <w:rPr>
          <w:bCs/>
          <w:b/>
        </w:rPr>
        <w:t xml:space="preserve">Veterinarian</w:t>
      </w:r>
      <w:r>
        <w:t xml:space="preserve"> </w:t>
      </w:r>
      <w:r>
        <w:t xml:space="preserve">under review demonstrates a high level of technical proficiency and a strong commitment to the evolving healthcare landscape in</w:t>
      </w:r>
      <w:r>
        <w:t xml:space="preserve"> </w:t>
      </w:r>
      <w:r>
        <w:rPr>
          <w:bCs/>
          <w:b/>
        </w:rPr>
        <w:t xml:space="preserve">Saudi Arabia, Riyadh</w:t>
      </w:r>
      <w:r>
        <w:t xml:space="preserve">.</w:t>
      </w:r>
    </w:p>
    <w:bookmarkEnd w:id="21"/>
    <w:bookmarkStart w:id="22" w:name="regulatory-compliance-and-licensing"/>
    <w:p>
      <w:pPr>
        <w:pStyle w:val="Heading2"/>
      </w:pPr>
      <w:r>
        <w:t xml:space="preserve">2. Regulatory Compliance and Licensing</w:t>
      </w:r>
    </w:p>
    <w:p>
      <w:pPr>
        <w:pStyle w:val="FirstParagraph"/>
      </w:pPr>
      <w:r>
        <w:t xml:space="preserve">Adherence to local regulations is paramount for any medical professional in the Kingdom. The</w:t>
      </w:r>
      <w:r>
        <w:t xml:space="preserve"> </w:t>
      </w:r>
      <w:r>
        <w:rPr>
          <w:bCs/>
          <w:b/>
        </w:rPr>
        <w:t xml:space="preserve">Veterinarian</w:t>
      </w:r>
      <w:r>
        <w:t xml:space="preserve"> </w:t>
      </w:r>
      <w:r>
        <w:t xml:space="preserve">holds a valid license issued by the Saudi Veterinary Board and is registered with the Ministry of Environment, Water and Agriculture (MEWA).</w:t>
      </w:r>
    </w:p>
    <w:p>
      <w:pPr>
        <w:numPr>
          <w:ilvl w:val="0"/>
          <w:numId w:val="1001"/>
        </w:numPr>
        <w:pStyle w:val="Compact"/>
      </w:pPr>
      <w:r>
        <w:rPr>
          <w:bCs/>
          <w:b/>
        </w:rPr>
        <w:t xml:space="preserve">License Status:</w:t>
      </w:r>
      <w:r>
        <w:t xml:space="preserve"> </w:t>
      </w:r>
      <w:r>
        <w:t xml:space="preserve">Active and in good standing.</w:t>
      </w:r>
    </w:p>
    <w:p>
      <w:pPr>
        <w:numPr>
          <w:ilvl w:val="0"/>
          <w:numId w:val="1001"/>
        </w:numPr>
        <w:pStyle w:val="Compact"/>
      </w:pPr>
      <w:r>
        <w:rPr>
          <w:bCs/>
          <w:b/>
        </w:rPr>
        <w:t xml:space="preserve">Continuing Education:</w:t>
      </w:r>
      <w:r>
        <w:t xml:space="preserve"> </w:t>
      </w:r>
      <w:r>
        <w:t xml:space="preserve">The practitioner has completed the mandatory 30 hours of Continuing Professional Development (CPD) required annually in</w:t>
      </w:r>
      <w:r>
        <w:t xml:space="preserve"> </w:t>
      </w:r>
      <w:r>
        <w:rPr>
          <w:bCs/>
          <w:b/>
        </w:rPr>
        <w:t xml:space="preserve">Saudi Arabia</w:t>
      </w:r>
      <w:r>
        <w:t xml:space="preserve">.</w:t>
      </w:r>
    </w:p>
    <w:p>
      <w:pPr>
        <w:numPr>
          <w:ilvl w:val="0"/>
          <w:numId w:val="1001"/>
        </w:numPr>
        <w:pStyle w:val="Compact"/>
      </w:pPr>
      <w:r>
        <w:rPr>
          <w:bCs/>
          <w:b/>
        </w:rPr>
        <w:t xml:space="preserve">Facility Standards:</w:t>
      </w:r>
      <w:r>
        <w:t xml:space="preserve"> </w:t>
      </w:r>
      <w:r>
        <w:t xml:space="preserve">The clinic in Riyadh complies with all zoning laws and biosecurity protocols mandated for veterinary facilities in the capital.</w:t>
      </w:r>
    </w:p>
    <w:p>
      <w:pPr>
        <w:pStyle w:val="FirstParagraph"/>
      </w:pPr>
      <w:r>
        <w:t xml:space="preserve">The</w:t>
      </w:r>
      <w:r>
        <w:t xml:space="preserve"> </w:t>
      </w:r>
      <w:r>
        <w:rPr>
          <w:bCs/>
          <w:b/>
        </w:rPr>
        <w:t xml:space="preserve">Peer Review Report</w:t>
      </w:r>
      <w:r>
        <w:t xml:space="preserve"> </w:t>
      </w:r>
      <w:r>
        <w:t xml:space="preserve">confirms that all controlled substances are stored and logged according to SFDA regulations, ensuring strict accountability.</w:t>
      </w:r>
    </w:p>
    <w:bookmarkEnd w:id="22"/>
    <w:bookmarkStart w:id="25" w:name="clinical-competence-and-case-management"/>
    <w:p>
      <w:pPr>
        <w:pStyle w:val="Heading2"/>
      </w:pPr>
      <w:r>
        <w:t xml:space="preserve">3. Clinical Competence and Case Management</w:t>
      </w:r>
    </w:p>
    <w:p>
      <w:pPr>
        <w:pStyle w:val="FirstParagraph"/>
      </w:pPr>
      <w:r>
        <w:t xml:space="preserve">A random audit of 50 medical records was conducted to assess the quality of care provided by the</w:t>
      </w:r>
      <w:r>
        <w:t xml:space="preserve"> </w:t>
      </w:r>
      <w:r>
        <w:rPr>
          <w:bCs/>
          <w:b/>
        </w:rPr>
        <w:t xml:space="preserve">Veterinarian</w:t>
      </w:r>
      <w:r>
        <w:t xml:space="preserve">. The cases reviewed included routine wellness exams, surgical procedures, and emergency interventions typical of the Riyadh demographic.</w:t>
      </w:r>
    </w:p>
    <w:bookmarkStart w:id="23" w:name="diagnostic-accuracy"/>
    <w:p>
      <w:pPr>
        <w:pStyle w:val="Heading3"/>
      </w:pPr>
      <w:r>
        <w:t xml:space="preserve">3.1 Diagnostic Accuracy</w:t>
      </w:r>
    </w:p>
    <w:p>
      <w:pPr>
        <w:pStyle w:val="FirstParagraph"/>
      </w:pPr>
      <w:r>
        <w:t xml:space="preserve">The</w:t>
      </w:r>
      <w:r>
        <w:t xml:space="preserve"> </w:t>
      </w:r>
      <w:r>
        <w:rPr>
          <w:bCs/>
          <w:b/>
        </w:rPr>
        <w:t xml:space="preserve">Veterinarian</w:t>
      </w:r>
      <w:r>
        <w:t xml:space="preserve"> </w:t>
      </w:r>
      <w:r>
        <w:t xml:space="preserve">demonstrates excellent diagnostic reasoning. In cases involving common regional ailments, such as heat stress and respiratory infections prevalent in the Riyadh climate, the diagnostic approach was thorough. The utilization of advanced imaging and laboratory diagnostics available in</w:t>
      </w:r>
      <w:r>
        <w:t xml:space="preserve"> </w:t>
      </w:r>
      <w:r>
        <w:rPr>
          <w:bCs/>
          <w:b/>
        </w:rPr>
        <w:t xml:space="preserve">Saudi Arabia</w:t>
      </w:r>
      <w:r>
        <w:t xml:space="preserve"> </w:t>
      </w:r>
      <w:r>
        <w:t xml:space="preserve">was appropriate and justified in 95% of reviewed cases.</w:t>
      </w:r>
    </w:p>
    <w:bookmarkEnd w:id="23"/>
    <w:bookmarkStart w:id="24" w:name="surgical-standards"/>
    <w:p>
      <w:pPr>
        <w:pStyle w:val="Heading3"/>
      </w:pPr>
      <w:r>
        <w:t xml:space="preserve">3.2 Surgical Standards</w:t>
      </w:r>
    </w:p>
    <w:p>
      <w:pPr>
        <w:pStyle w:val="FirstParagraph"/>
      </w:pPr>
      <w:r>
        <w:t xml:space="preserve">Surgical logs indicate a low complication rate. The</w:t>
      </w:r>
      <w:r>
        <w:t xml:space="preserve"> </w:t>
      </w:r>
      <w:r>
        <w:rPr>
          <w:bCs/>
          <w:b/>
        </w:rPr>
        <w:t xml:space="preserve">Veterinarian</w:t>
      </w:r>
      <w:r>
        <w:t xml:space="preserve"> </w:t>
      </w:r>
      <w:r>
        <w:t xml:space="preserve">adheres to strict aseptic techniques. Post-operative care instructions provided to clients were clear and comprehensive. The review board noted that the practitioner stays updated with the latest surgical techniques, contributing to the high standard of veterinary care in</w:t>
      </w:r>
      <w:r>
        <w:t xml:space="preserve"> </w:t>
      </w:r>
      <w:r>
        <w:rPr>
          <w:bCs/>
          <w:b/>
        </w:rPr>
        <w:t xml:space="preserve">Riyadh</w:t>
      </w:r>
      <w:r>
        <w:t xml:space="preserve">.</w:t>
      </w:r>
    </w:p>
    <w:bookmarkEnd w:id="24"/>
    <w:bookmarkEnd w:id="25"/>
    <w:bookmarkStart w:id="26" w:name="animal-welfare-and-ethics"/>
    <w:p>
      <w:pPr>
        <w:pStyle w:val="Heading2"/>
      </w:pPr>
      <w:r>
        <w:t xml:space="preserve">4. Animal Welfare and Ethics</w:t>
      </w:r>
    </w:p>
    <w:p>
      <w:pPr>
        <w:pStyle w:val="FirstParagraph"/>
      </w:pPr>
      <w:r>
        <w:t xml:space="preserve">Animal welfare is a cornerstone of veterinary practice in</w:t>
      </w:r>
      <w:r>
        <w:t xml:space="preserve"> </w:t>
      </w:r>
      <w:r>
        <w:rPr>
          <w:bCs/>
          <w:b/>
        </w:rPr>
        <w:t xml:space="preserve">Saudi Arabia</w:t>
      </w:r>
      <w:r>
        <w:t xml:space="preserve">. The</w:t>
      </w:r>
      <w:r>
        <w:t xml:space="preserve"> </w:t>
      </w:r>
      <w:r>
        <w:rPr>
          <w:bCs/>
          <w:b/>
        </w:rPr>
        <w:t xml:space="preserve">Peer Review Report</w:t>
      </w:r>
      <w:r>
        <w:t xml:space="preserve"> </w:t>
      </w:r>
      <w:r>
        <w:t xml:space="preserve">highlights the</w:t>
      </w:r>
      <w:r>
        <w:t xml:space="preserve"> </w:t>
      </w:r>
      <w:r>
        <w:rPr>
          <w:bCs/>
          <w:b/>
        </w:rPr>
        <w:t xml:space="preserve">Veterinarian</w:t>
      </w:r>
      <w:r>
        <w:t xml:space="preserve">'s strong ethical stance regarding pain management and humane treatment.</w:t>
      </w:r>
    </w:p>
    <w:p>
      <w:pPr>
        <w:numPr>
          <w:ilvl w:val="0"/>
          <w:numId w:val="1002"/>
        </w:numPr>
        <w:pStyle w:val="Compact"/>
      </w:pPr>
      <w:r>
        <w:rPr>
          <w:bCs/>
          <w:b/>
        </w:rPr>
        <w:t xml:space="preserve">Pain Management:</w:t>
      </w:r>
      <w:r>
        <w:t xml:space="preserve"> </w:t>
      </w:r>
      <w:r>
        <w:t xml:space="preserve">Protocols for analgesia are robust and align with international guidelines.</w:t>
      </w:r>
    </w:p>
    <w:p>
      <w:pPr>
        <w:numPr>
          <w:ilvl w:val="0"/>
          <w:numId w:val="1002"/>
        </w:numPr>
        <w:pStyle w:val="Compact"/>
      </w:pPr>
      <w:r>
        <w:rPr>
          <w:bCs/>
          <w:b/>
        </w:rPr>
        <w:t xml:space="preserve">Euthanasia:</w:t>
      </w:r>
      <w:r>
        <w:t xml:space="preserve"> </w:t>
      </w:r>
      <w:r>
        <w:t xml:space="preserve">Procedures are conducted with dignity and respect, following the ethical guidelines of the Saudi Veterinary Council.</w:t>
      </w:r>
    </w:p>
    <w:p>
      <w:pPr>
        <w:numPr>
          <w:ilvl w:val="0"/>
          <w:numId w:val="1002"/>
        </w:numPr>
        <w:pStyle w:val="Compact"/>
      </w:pPr>
      <w:r>
        <w:rPr>
          <w:bCs/>
          <w:b/>
        </w:rPr>
        <w:t xml:space="preserve">Client Education:</w:t>
      </w:r>
      <w:r>
        <w:t xml:space="preserve"> </w:t>
      </w:r>
      <w:r>
        <w:t xml:space="preserve">The practitioner actively educates pet owners in Riyadh on responsible ownership, nutrition, and preventive care, fostering a culture of animal welfare in the community.</w:t>
      </w:r>
    </w:p>
    <w:bookmarkEnd w:id="26"/>
    <w:bookmarkStart w:id="27" w:name="client-communication-and-professionalism"/>
    <w:p>
      <w:pPr>
        <w:pStyle w:val="Heading2"/>
      </w:pPr>
      <w:r>
        <w:t xml:space="preserve">5. Client Communication and Professionalism</w:t>
      </w:r>
    </w:p>
    <w:p>
      <w:pPr>
        <w:pStyle w:val="FirstParagraph"/>
      </w:pPr>
      <w:r>
        <w:t xml:space="preserve">Effective communication is essential in a multicultural environment like</w:t>
      </w:r>
      <w:r>
        <w:t xml:space="preserve"> </w:t>
      </w:r>
      <w:r>
        <w:rPr>
          <w:bCs/>
          <w:b/>
        </w:rPr>
        <w:t xml:space="preserve">Riyadh</w:t>
      </w:r>
      <w:r>
        <w:t xml:space="preserve">. The</w:t>
      </w:r>
      <w:r>
        <w:t xml:space="preserve"> </w:t>
      </w:r>
      <w:r>
        <w:rPr>
          <w:bCs/>
          <w:b/>
        </w:rPr>
        <w:t xml:space="preserve">Veterinarian</w:t>
      </w:r>
      <w:r>
        <w:t xml:space="preserve"> </w:t>
      </w:r>
      <w:r>
        <w:t xml:space="preserve">demonstrates proficiency in both Arabic and English, ensuring clear communication with a diverse client base.</w:t>
      </w:r>
    </w:p>
    <w:p>
      <w:pPr>
        <w:pStyle w:val="BodyText"/>
      </w:pPr>
      <w:r>
        <w:t xml:space="preserve">Feedback from clients indicates high satisfaction levels. The</w:t>
      </w:r>
      <w:r>
        <w:t xml:space="preserve"> </w:t>
      </w:r>
      <w:r>
        <w:rPr>
          <w:bCs/>
          <w:b/>
        </w:rPr>
        <w:t xml:space="preserve">Veterinarian</w:t>
      </w:r>
      <w:r>
        <w:t xml:space="preserve"> </w:t>
      </w:r>
      <w:r>
        <w:t xml:space="preserve">is praised for empathy, patience, and the ability to explain complex medical conditions in understandable terms. This professionalism enhances the reputation of veterinary services in</w:t>
      </w:r>
      <w:r>
        <w:t xml:space="preserve"> </w:t>
      </w:r>
      <w:r>
        <w:rPr>
          <w:bCs/>
          <w:b/>
        </w:rPr>
        <w:t xml:space="preserve">Saudi Arabia</w:t>
      </w:r>
      <w:r>
        <w:t xml:space="preserve">.</w:t>
      </w:r>
    </w:p>
    <w:bookmarkEnd w:id="27"/>
    <w:bookmarkStart w:id="28" w:name="assessment-scoring"/>
    <w:p>
      <w:pPr>
        <w:pStyle w:val="Heading2"/>
      </w:pPr>
      <w:r>
        <w:t xml:space="preserve">6. Assessment Scoring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Score (out of 10)</w:t>
            </w:r>
          </w:p>
        </w:tc>
        <w:tc>
          <w:tcPr/>
          <w:p>
            <w:pPr>
              <w:pStyle w:val="Compact"/>
              <w:jc w:val="left"/>
            </w:pPr>
            <w:r>
              <w:t xml:space="preserve">Comments</w:t>
            </w:r>
          </w:p>
        </w:tc>
      </w:tr>
      <w:tr>
        <w:tc>
          <w:tcPr/>
          <w:p>
            <w:pPr>
              <w:pStyle w:val="Compact"/>
              <w:jc w:val="left"/>
            </w:pPr>
            <w:r>
              <w:t xml:space="preserve">Clinical Knowledge</w:t>
            </w:r>
          </w:p>
        </w:tc>
        <w:tc>
          <w:tcPr/>
          <w:p>
            <w:pPr>
              <w:pStyle w:val="Compact"/>
              <w:jc w:val="left"/>
            </w:pPr>
            <w:r>
              <w:t xml:space="preserve">9.5</w:t>
            </w:r>
          </w:p>
        </w:tc>
        <w:tc>
          <w:tcPr/>
          <w:p>
            <w:pPr>
              <w:pStyle w:val="Compact"/>
              <w:jc w:val="left"/>
            </w:pPr>
            <w:r>
              <w:t xml:space="preserve">Excellent diagnostic skills.</w:t>
            </w:r>
          </w:p>
        </w:tc>
      </w:tr>
      <w:tr>
        <w:tc>
          <w:tcPr/>
          <w:p>
            <w:pPr>
              <w:pStyle w:val="Compact"/>
              <w:jc w:val="left"/>
            </w:pPr>
            <w:r>
              <w:t xml:space="preserve">Surgical Proficiency</w:t>
            </w:r>
          </w:p>
        </w:tc>
        <w:tc>
          <w:tcPr/>
          <w:p>
            <w:pPr>
              <w:pStyle w:val="Compact"/>
              <w:jc w:val="left"/>
            </w:pPr>
            <w:r>
              <w:t xml:space="preserve">9.0</w:t>
            </w:r>
          </w:p>
        </w:tc>
        <w:tc>
          <w:tcPr/>
          <w:p>
            <w:pPr>
              <w:pStyle w:val="Compact"/>
              <w:jc w:val="left"/>
            </w:pPr>
            <w:r>
              <w:t xml:space="preserve">High success rate, minor documentation gaps.</w:t>
            </w:r>
          </w:p>
        </w:tc>
      </w:tr>
      <w:tr>
        <w:tc>
          <w:tcPr/>
          <w:p>
            <w:pPr>
              <w:pStyle w:val="Compact"/>
              <w:jc w:val="left"/>
            </w:pPr>
            <w:r>
              <w:t xml:space="preserve">Regulatory Compliance</w:t>
            </w:r>
          </w:p>
        </w:tc>
        <w:tc>
          <w:tcPr/>
          <w:p>
            <w:pPr>
              <w:pStyle w:val="Compact"/>
              <w:jc w:val="left"/>
            </w:pPr>
            <w:r>
              <w:t xml:space="preserve">10.0</w:t>
            </w:r>
          </w:p>
        </w:tc>
        <w:tc>
          <w:tcPr/>
          <w:p>
            <w:pPr>
              <w:pStyle w:val="Compact"/>
              <w:jc w:val="left"/>
            </w:pPr>
            <w:r>
              <w:t xml:space="preserve">Fully compliant with SFDA and MEWA.</w:t>
            </w:r>
          </w:p>
        </w:tc>
      </w:tr>
      <w:tr>
        <w:tc>
          <w:tcPr/>
          <w:p>
            <w:pPr>
              <w:pStyle w:val="Compact"/>
              <w:jc w:val="left"/>
            </w:pPr>
            <w:r>
              <w:t xml:space="preserve">Animal Welfare</w:t>
            </w:r>
          </w:p>
        </w:tc>
        <w:tc>
          <w:tcPr/>
          <w:p>
            <w:pPr>
              <w:pStyle w:val="Compact"/>
              <w:jc w:val="left"/>
            </w:pPr>
            <w:r>
              <w:t xml:space="preserve">9.5</w:t>
            </w:r>
          </w:p>
        </w:tc>
        <w:tc>
          <w:tcPr/>
          <w:p>
            <w:pPr>
              <w:pStyle w:val="Compact"/>
              <w:jc w:val="left"/>
            </w:pPr>
            <w:r>
              <w:t xml:space="preserve">Strong ethical standards.</w:t>
            </w:r>
          </w:p>
        </w:tc>
      </w:tr>
      <w:tr>
        <w:tc>
          <w:tcPr/>
          <w:p>
            <w:pPr>
              <w:pStyle w:val="Compact"/>
              <w:jc w:val="left"/>
            </w:pPr>
            <w:r>
              <w:t xml:space="preserve">Client Communication</w:t>
            </w:r>
          </w:p>
        </w:tc>
        <w:tc>
          <w:tcPr/>
          <w:p>
            <w:pPr>
              <w:pStyle w:val="Compact"/>
              <w:jc w:val="left"/>
            </w:pPr>
            <w:r>
              <w:t xml:space="preserve">9.0</w:t>
            </w:r>
          </w:p>
        </w:tc>
        <w:tc>
          <w:tcPr/>
          <w:p>
            <w:pPr>
              <w:pStyle w:val="Compact"/>
              <w:jc w:val="left"/>
            </w:pPr>
            <w:r>
              <w:t xml:space="preserve">Effective and empathetic.</w:t>
            </w:r>
          </w:p>
        </w:tc>
      </w:tr>
      <w:tr>
        <w:tc>
          <w:tcPr/>
          <w:p>
            <w:pPr>
              <w:pStyle w:val="Compact"/>
              <w:jc w:val="left"/>
            </w:pPr>
            <w:r>
              <w:t xml:space="preserve">Record Keeping</w:t>
            </w:r>
          </w:p>
        </w:tc>
        <w:tc>
          <w:tcPr/>
          <w:p>
            <w:pPr>
              <w:pStyle w:val="Compact"/>
              <w:jc w:val="left"/>
            </w:pPr>
            <w:r>
              <w:t xml:space="preserve">8.5</w:t>
            </w:r>
          </w:p>
        </w:tc>
        <w:tc>
          <w:tcPr/>
          <w:p>
            <w:pPr>
              <w:pStyle w:val="Compact"/>
              <w:jc w:val="left"/>
            </w:pPr>
            <w:r>
              <w:t xml:space="preserve">Generally good, needs more detail in some cases.</w:t>
            </w:r>
          </w:p>
        </w:tc>
      </w:tr>
    </w:tbl>
    <w:p>
      <w:pPr>
        <w:pStyle w:val="BodyText"/>
      </w:pPr>
      <w:r>
        <w:rPr>
          <w:bCs/>
          <w:b/>
        </w:rPr>
        <w:t xml:space="preserve">Overall Score: 9.25 / 10</w:t>
      </w:r>
    </w:p>
    <w:bookmarkEnd w:id="28"/>
    <w:bookmarkStart w:id="30" w:name="recommendations-and-conclusion"/>
    <w:p>
      <w:pPr>
        <w:pStyle w:val="Heading2"/>
      </w:pPr>
      <w:r>
        <w:t xml:space="preserve">7. Recommendations and Conclusion</w:t>
      </w:r>
    </w:p>
    <w:p>
      <w:pPr>
        <w:pStyle w:val="FirstParagraph"/>
      </w:pPr>
      <w:r>
        <w:t xml:space="preserve">Based on the findings of this</w:t>
      </w:r>
      <w:r>
        <w:t xml:space="preserve"> </w:t>
      </w:r>
      <w:r>
        <w:rPr>
          <w:bCs/>
          <w:b/>
        </w:rPr>
        <w:t xml:space="preserve">Peer Review Report</w:t>
      </w:r>
      <w:r>
        <w:t xml:space="preserve">, the</w:t>
      </w:r>
      <w:r>
        <w:t xml:space="preserve"> </w:t>
      </w:r>
      <w:r>
        <w:rPr>
          <w:bCs/>
          <w:b/>
        </w:rPr>
        <w:t xml:space="preserve">Veterinarian</w:t>
      </w:r>
      <w:r>
        <w:t xml:space="preserve"> </w:t>
      </w:r>
      <w:r>
        <w:t xml:space="preserve">is deemed to be practicing at a level that exceeds the minimum requirements for licensure in</w:t>
      </w:r>
      <w:r>
        <w:t xml:space="preserve"> </w:t>
      </w:r>
      <w:r>
        <w:rPr>
          <w:bCs/>
          <w:b/>
        </w:rPr>
        <w:t xml:space="preserve">Saudi Arabia, Riyadh</w:t>
      </w:r>
      <w:r>
        <w:t xml:space="preserve">. The practitioner contributes positively to the veterinary community and upholds the integrity of the profession.</w:t>
      </w:r>
    </w:p>
    <w:bookmarkStart w:id="29" w:name="recommendations-for-improvement"/>
    <w:p>
      <w:pPr>
        <w:pStyle w:val="Heading3"/>
      </w:pPr>
      <w:r>
        <w:t xml:space="preserve">Recommendations for Improvement:</w:t>
      </w:r>
    </w:p>
    <w:p>
      <w:pPr>
        <w:numPr>
          <w:ilvl w:val="0"/>
          <w:numId w:val="1003"/>
        </w:numPr>
        <w:pStyle w:val="Compact"/>
      </w:pPr>
      <w:r>
        <w:rPr>
          <w:bCs/>
          <w:b/>
        </w:rPr>
        <w:t xml:space="preserve">Documentation:</w:t>
      </w:r>
      <w:r>
        <w:t xml:space="preserve"> </w:t>
      </w:r>
      <w:r>
        <w:t xml:space="preserve">Enhance the detail in medical records, particularly regarding differential diagnoses, to ensure complete traceability.</w:t>
      </w:r>
    </w:p>
    <w:p>
      <w:pPr>
        <w:numPr>
          <w:ilvl w:val="0"/>
          <w:numId w:val="1003"/>
        </w:numPr>
        <w:pStyle w:val="Compact"/>
      </w:pPr>
      <w:r>
        <w:rPr>
          <w:bCs/>
          <w:b/>
        </w:rPr>
        <w:t xml:space="preserve">Specialization:</w:t>
      </w:r>
      <w:r>
        <w:t xml:space="preserve"> </w:t>
      </w:r>
      <w:r>
        <w:t xml:space="preserve">Consider pursuing a board certification in a specialized field to further elevate the standard of care in Riyadh.</w:t>
      </w:r>
    </w:p>
    <w:p>
      <w:pPr>
        <w:numPr>
          <w:ilvl w:val="0"/>
          <w:numId w:val="1003"/>
        </w:numPr>
        <w:pStyle w:val="Compact"/>
      </w:pPr>
      <w:r>
        <w:rPr>
          <w:bCs/>
          <w:b/>
        </w:rPr>
        <w:t xml:space="preserve">Community Outreach:</w:t>
      </w:r>
      <w:r>
        <w:t xml:space="preserve"> </w:t>
      </w:r>
      <w:r>
        <w:t xml:space="preserve">Lead more workshops on animal health to support the growing pet ownership trend in</w:t>
      </w:r>
      <w:r>
        <w:t xml:space="preserve"> </w:t>
      </w:r>
      <w:r>
        <w:rPr>
          <w:bCs/>
          <w:b/>
        </w:rPr>
        <w:t xml:space="preserve">Saudi Arabia</w:t>
      </w:r>
      <w:r>
        <w:t xml:space="preserve">.</w:t>
      </w:r>
    </w:p>
    <w:bookmarkEnd w:id="29"/>
    <w:p>
      <w:pPr>
        <w:pStyle w:val="FirstParagraph"/>
      </w:pPr>
      <w:r>
        <w:rPr>
          <w:bCs/>
          <w:b/>
        </w:rPr>
        <w:t xml:space="preserve">Final Decision:</w:t>
      </w:r>
      <w:r>
        <w:t xml:space="preserve"> </w:t>
      </w:r>
      <w:r>
        <w:t xml:space="preserve">The</w:t>
      </w:r>
      <w:r>
        <w:t xml:space="preserve"> </w:t>
      </w:r>
      <w:r>
        <w:rPr>
          <w:bCs/>
          <w:b/>
        </w:rPr>
        <w:t xml:space="preserve">Veterinarian</w:t>
      </w:r>
      <w:r>
        <w:t xml:space="preserve"> </w:t>
      </w:r>
      <w:r>
        <w:t xml:space="preserve">is</w:t>
      </w:r>
      <w:r>
        <w:t xml:space="preserve"> </w:t>
      </w:r>
      <w:r>
        <w:rPr>
          <w:bCs/>
          <w:b/>
        </w:rPr>
        <w:t xml:space="preserve">APPROVED</w:t>
      </w:r>
      <w:r>
        <w:t xml:space="preserve"> </w:t>
      </w:r>
      <w:r>
        <w:t xml:space="preserve">to continue practice without restriction. This report will be filed with the Riyadh Veterinary Quality Assurance Committee.</w:t>
      </w:r>
    </w:p>
    <w:bookmarkEnd w:id="30"/>
    <w:p>
      <w:pPr>
        <w:pStyle w:val="BodyText"/>
      </w:pPr>
      <w:r>
        <w:t xml:space="preserve">This document is an official</w:t>
      </w:r>
      <w:r>
        <w:t xml:space="preserve"> </w:t>
      </w:r>
      <w:r>
        <w:rPr>
          <w:bCs/>
          <w:b/>
        </w:rPr>
        <w:t xml:space="preserve">Peer Review Report</w:t>
      </w:r>
      <w:r>
        <w:t xml:space="preserve"> </w:t>
      </w:r>
      <w:r>
        <w:t xml:space="preserve">generated for regulatory purposes in</w:t>
      </w:r>
      <w:r>
        <w:t xml:space="preserve"> </w:t>
      </w:r>
      <w:r>
        <w:rPr>
          <w:bCs/>
          <w:b/>
        </w:rPr>
        <w:t xml:space="preserve">Saudi Arabia, Riyadh</w:t>
      </w:r>
      <w:r>
        <w:t xml:space="preserve">.</w:t>
      </w:r>
      <w:r>
        <w:br/>
      </w:r>
      <w:r>
        <w:t xml:space="preserve">© 2023 Riyadh Veterinary Quality Assurance Committee.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in Riyadh, Saudi Arabia</dc:title>
  <dc:creator/>
  <dc:language>en</dc:language>
  <cp:keywords/>
  <dcterms:created xsi:type="dcterms:W3CDTF">2026-10-10T02:44:27Z</dcterms:created>
  <dcterms:modified xsi:type="dcterms:W3CDTF">2026-10-10T02:44:27Z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