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0" w:name="X9d76c6a620f7fecd062aa34e7ce4a55e36762f6"/>
    <w:p>
      <w:pPr>
        <w:pStyle w:val="Heading1"/>
      </w:pPr>
      <w:r>
        <w:t xml:space="preserve">Peer Review Report: Veterinary Clinical Competency</w:t>
      </w:r>
    </w:p>
    <w:p>
      <w:pPr>
        <w:pStyle w:val="FirstParagraph"/>
      </w:pPr>
      <w:r>
        <w:rPr>
          <w:bCs/>
          <w:b/>
        </w:rPr>
        <w:t xml:space="preserve">Subject:</w:t>
      </w:r>
      <w:r>
        <w:t xml:space="preserve"> </w:t>
      </w:r>
      <w:r>
        <w:t xml:space="preserve">Veterinary Professional Standards and Clinical Practice</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Committee</w:t>
      </w:r>
    </w:p>
    <w:p>
      <w:pPr>
        <w:pStyle w:val="BodyText"/>
      </w:pPr>
      <w:r>
        <w:rPr>
          <w:bCs/>
          <w:b/>
        </w:rPr>
        <w:t xml:space="preserve">Scope:</w:t>
      </w:r>
      <w:r>
        <w:t xml:space="preserve"> </w:t>
      </w:r>
      <w:r>
        <w:t xml:space="preserve">Evaluation of clinical protocols, diagnostic accuracy, and regulatory compliance within the Tashkent metropolitan area.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veterinary practice among selected clinics in Tashkent, Uzbekistan. The primary objective is to assess the alignment of local veterinary services with international standards of animal healthcare, while considering the specific regulatory environment and economic context of Uzbekistan. The review focuses on the competency of the Veterinarian in handling both companion animals and livestock, which is critical given the dual nature of the veterinary profession in this region.</w:t>
      </w:r>
    </w:p>
    <w:p>
      <w:pPr>
        <w:pStyle w:val="BodyText"/>
      </w:pPr>
      <w:r>
        <w:t xml:space="preserve">The findings indicate a positive trajectory in the modernization of veterinary care in Tashkent. However, significant gaps remain in specialized diagnostics, record-keeping consistency, and the implementation of standardized treatment protocols. This report outlines these findings and provides actionable recommendations to enhance the quality of care provided by veterinarians in the capital city.</w:t>
      </w:r>
    </w:p>
    <w:bookmarkEnd w:id="21"/>
    <w:bookmarkStart w:id="22" w:name="introduction-and-context"/>
    <w:p>
      <w:pPr>
        <w:pStyle w:val="Heading2"/>
      </w:pPr>
      <w:r>
        <w:t xml:space="preserve">2. Introduction and Context</w:t>
      </w:r>
    </w:p>
    <w:p>
      <w:pPr>
        <w:pStyle w:val="FirstParagraph"/>
      </w:pPr>
      <w:r>
        <w:t xml:space="preserve">The veterinary landscape in Uzbekistan is undergoing a significant transformation. As Tashkent continues to grow as an economic and cultural hub, the demand for high-quality veterinary services has surged. This demand is driven by two distinct factors: the increasing population of pet owners seeking human-level care for companion animals, and the agricultural sector's need for rigorous livestock health management to ensure food security and export compliance.</w:t>
      </w:r>
    </w:p>
    <w:p>
      <w:pPr>
        <w:pStyle w:val="BodyText"/>
      </w:pPr>
      <w:r>
        <w:t xml:space="preserve">The role of the Veterinarian in Tashkent is therefore multifaceted. They must navigate a complex regulatory framework established by the Ministry of Agriculture of the Republic of Uzbekistan while adopting modern medical technologies. This peer review aims to bridge the gap between traditional practices and contemporary veterinary medicine, ensuring that the Veterinarian in Tashkent is equipped to handle emerging zoonotic diseases, surgical complexities, and preventive care requirements.</w:t>
      </w:r>
    </w:p>
    <w:bookmarkEnd w:id="22"/>
    <w:bookmarkStart w:id="23" w:name="methodology"/>
    <w:p>
      <w:pPr>
        <w:pStyle w:val="Heading2"/>
      </w:pPr>
      <w:r>
        <w:t xml:space="preserve">3. Methodology</w:t>
      </w:r>
    </w:p>
    <w:p>
      <w:pPr>
        <w:pStyle w:val="FirstParagraph"/>
      </w:pPr>
      <w:r>
        <w:t xml:space="preserve">The review process involved a comprehensive assessment of veterinary practices across five major clinics in Tashkent. The methodology included:</w:t>
      </w:r>
    </w:p>
    <w:p>
      <w:pPr>
        <w:numPr>
          <w:ilvl w:val="0"/>
          <w:numId w:val="1001"/>
        </w:numPr>
        <w:pStyle w:val="Compact"/>
      </w:pPr>
      <w:r>
        <w:rPr>
          <w:bCs/>
          <w:b/>
        </w:rPr>
        <w:t xml:space="preserve">Clinical Observation:</w:t>
      </w:r>
      <w:r>
        <w:t xml:space="preserve"> </w:t>
      </w:r>
      <w:r>
        <w:t xml:space="preserve">Direct observation of consultations, surgical procedures, and diagnostic workflows performed by the Veterinarian.</w:t>
      </w:r>
    </w:p>
    <w:p>
      <w:pPr>
        <w:numPr>
          <w:ilvl w:val="0"/>
          <w:numId w:val="1001"/>
        </w:numPr>
        <w:pStyle w:val="Compact"/>
      </w:pPr>
      <w:r>
        <w:rPr>
          <w:bCs/>
          <w:b/>
        </w:rPr>
        <w:t xml:space="preserve">Record Audit:</w:t>
      </w:r>
      <w:r>
        <w:t xml:space="preserve"> </w:t>
      </w:r>
      <w:r>
        <w:t xml:space="preserve">Review of medical records to assess accuracy, completeness, and compliance with data protection standards.</w:t>
      </w:r>
    </w:p>
    <w:p>
      <w:pPr>
        <w:numPr>
          <w:ilvl w:val="0"/>
          <w:numId w:val="1001"/>
        </w:numPr>
        <w:pStyle w:val="Compact"/>
      </w:pPr>
      <w:r>
        <w:rPr>
          <w:bCs/>
          <w:b/>
        </w:rPr>
        <w:t xml:space="preserve">Facility Inspection:</w:t>
      </w:r>
      <w:r>
        <w:t xml:space="preserve"> </w:t>
      </w:r>
      <w:r>
        <w:t xml:space="preserve">Evaluation of hygiene standards, sterilization protocols, and the availability of essential medical equipment.</w:t>
      </w:r>
    </w:p>
    <w:p>
      <w:pPr>
        <w:numPr>
          <w:ilvl w:val="0"/>
          <w:numId w:val="1001"/>
        </w:numPr>
        <w:pStyle w:val="Compact"/>
      </w:pPr>
      <w:r>
        <w:rPr>
          <w:bCs/>
          <w:b/>
        </w:rPr>
        <w:t xml:space="preserve">Stakeholder Interviews:</w:t>
      </w:r>
      <w:r>
        <w:t xml:space="preserve"> </w:t>
      </w:r>
      <w:r>
        <w:t xml:space="preserve">Discussions with veterinary staff, clinic owners, and animal owners to gauge satisfaction and operational challenges.</w:t>
      </w:r>
    </w:p>
    <w:bookmarkEnd w:id="23"/>
    <w:bookmarkStart w:id="28" w:name="detailed-findings"/>
    <w:p>
      <w:pPr>
        <w:pStyle w:val="Heading2"/>
      </w:pPr>
      <w:r>
        <w:t xml:space="preserve">4. Detailed Findings</w:t>
      </w:r>
    </w:p>
    <w:bookmarkStart w:id="24" w:name="X6f6d8d8ffcf3aa95c70f273d3a05cc874ff8c55"/>
    <w:p>
      <w:pPr>
        <w:pStyle w:val="Heading3"/>
      </w:pPr>
      <w:r>
        <w:t xml:space="preserve">4.1 Clinical Competency and Diagnostic Accuracy</w:t>
      </w:r>
    </w:p>
    <w:p>
      <w:pPr>
        <w:pStyle w:val="FirstParagraph"/>
      </w:pPr>
      <w:r>
        <w:t xml:space="preserve">The Veterinarian in Tashkent demonstrates a strong foundational knowledge of general pathology and pharmacology. However, the peer review identified a reliance on empirical diagnosis rather than evidence-based diagnostic testing. While basic physical examinations are conducted thoroughly, the utilization of advanced diagnostic tools such as digital radiography, ultrasound, and in-house laboratory analysis is inconsistent.</w:t>
      </w:r>
    </w:p>
    <w:p>
      <w:pPr>
        <w:pStyle w:val="BodyText"/>
      </w:pPr>
      <w:r>
        <w:t xml:space="preserve">In cases involving complex internal medicine or oncology, there is a noted delay in referral to specialized centers. To improve outcomes, the Veterinarian must integrate more rigorous diagnostic protocols into routine practice. This is particularly important in Uzbekistan, where the prevalence of certain regional parasites and infectious diseases requires specific diagnostic vigilance.</w:t>
      </w:r>
    </w:p>
    <w:bookmarkEnd w:id="24"/>
    <w:bookmarkStart w:id="25" w:name="X66f71f44e9b614208ba6eb87967f0a54e748c65"/>
    <w:p>
      <w:pPr>
        <w:pStyle w:val="Heading3"/>
      </w:pPr>
      <w:r>
        <w:t xml:space="preserve">4.2 Surgical Standards and Anesthesia Management</w:t>
      </w:r>
    </w:p>
    <w:p>
      <w:pPr>
        <w:pStyle w:val="FirstParagraph"/>
      </w:pPr>
      <w:r>
        <w:t xml:space="preserve">Surgical facilities in Tashkent have seen marked improvements in recent years. Most reviewed clinics possess modern anesthesia machines and surgical suites. However, the peer review found variability in pre-operative assessment and post-operative pain management protocols.</w:t>
      </w:r>
    </w:p>
    <w:p>
      <w:pPr>
        <w:pStyle w:val="BodyText"/>
      </w:pPr>
      <w:r>
        <w:t xml:space="preserve">The Veterinarian is encouraged to adopt standardized anesthesia monitoring checklists. Furthermore, the use of multimodal analgesia should be prioritized to ensure patient comfort and faster recovery. Adherence to international surgical asepsis standards is generally good, but strict enforcement of sterilization cycles for surgical instruments is required to prevent nosocomial infections.</w:t>
      </w:r>
    </w:p>
    <w:bookmarkEnd w:id="25"/>
    <w:bookmarkStart w:id="26" w:name="regulatory-compliance-and-documentation"/>
    <w:p>
      <w:pPr>
        <w:pStyle w:val="Heading3"/>
      </w:pPr>
      <w:r>
        <w:t xml:space="preserve">4.3 Regulatory Compliance and Documentation</w:t>
      </w:r>
    </w:p>
    <w:p>
      <w:pPr>
        <w:pStyle w:val="FirstParagraph"/>
      </w:pPr>
      <w:r>
        <w:t xml:space="preserve">Compliance with the veterinary regulations of Uzbekistan is mandatory. The review found that while vaccination records and movement certificates for livestock are generally maintained, the documentation for companion animal treatments often lacks detail.</w:t>
      </w:r>
    </w:p>
    <w:p>
      <w:pPr>
        <w:pStyle w:val="BodyText"/>
      </w:pPr>
      <w:r>
        <w:t xml:space="preserve">The Veterinarian must ensure that all medical records are comprehensive, including differential diagnoses, treatment rationales, and client consent forms. This is not only a legal requirement but also essential for continuity of care. Additionally, the management of controlled substances and pharmaceutical waste must strictly follow the environmental and health guidelines set by the Tashkent city administration.</w:t>
      </w:r>
    </w:p>
    <w:bookmarkEnd w:id="26"/>
    <w:bookmarkStart w:id="27" w:name="client-communication-and-education"/>
    <w:p>
      <w:pPr>
        <w:pStyle w:val="Heading3"/>
      </w:pPr>
      <w:r>
        <w:t xml:space="preserve">4.4 Client Communication and Education</w:t>
      </w:r>
    </w:p>
    <w:p>
      <w:pPr>
        <w:pStyle w:val="FirstParagraph"/>
      </w:pPr>
      <w:r>
        <w:t xml:space="preserve">Effective communication is a cornerstone of veterinary practice. The Veterinarian in Tashkent is often faced with clients who have varying levels of understanding regarding animal health. The review highlights a need for improved client education strategies.</w:t>
      </w:r>
    </w:p>
    <w:p>
      <w:pPr>
        <w:pStyle w:val="BodyText"/>
      </w:pPr>
      <w:r>
        <w:t xml:space="preserve">Veterinarians should take the initiative to educate owners on preventive care, nutrition, and the importance of regular check-ups. Clear communication regarding prognosis and cost estimates is essential to build trust and ensure informed decision-making. Cultural sensitivity is also paramount, as the Veterinarian must respect local traditions while advocating for evidence-based medical interventions.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for the Veterinarian and veterinary clinics in Tashkent, Uzbekistan:</w:t>
      </w:r>
    </w:p>
    <w:p>
      <w:pPr>
        <w:numPr>
          <w:ilvl w:val="0"/>
          <w:numId w:val="1002"/>
        </w:numPr>
        <w:pStyle w:val="Compact"/>
      </w:pPr>
      <w:r>
        <w:rPr>
          <w:bCs/>
          <w:b/>
        </w:rPr>
        <w:t xml:space="preserve">Investment in Diagnostics:</w:t>
      </w:r>
      <w:r>
        <w:t xml:space="preserve"> </w:t>
      </w:r>
      <w:r>
        <w:t xml:space="preserve">Prioritize the acquisition and training for advanced diagnostic equipment to reduce reliance on empirical treatment.</w:t>
      </w:r>
    </w:p>
    <w:p>
      <w:pPr>
        <w:numPr>
          <w:ilvl w:val="0"/>
          <w:numId w:val="1002"/>
        </w:numPr>
        <w:pStyle w:val="Compact"/>
      </w:pPr>
      <w:r>
        <w:rPr>
          <w:bCs/>
          <w:b/>
        </w:rPr>
        <w:t xml:space="preserve">Continuing Professional Development (CPD):</w:t>
      </w:r>
      <w:r>
        <w:t xml:space="preserve"> </w:t>
      </w:r>
      <w:r>
        <w:t xml:space="preserve">Encourage veterinarians to participate in international webinars and local workshops to stay updated on global veterinary advancements.</w:t>
      </w:r>
    </w:p>
    <w:p>
      <w:pPr>
        <w:numPr>
          <w:ilvl w:val="0"/>
          <w:numId w:val="1002"/>
        </w:numPr>
        <w:pStyle w:val="Compact"/>
      </w:pPr>
      <w:r>
        <w:rPr>
          <w:bCs/>
          <w:b/>
        </w:rPr>
        <w:t xml:space="preserve">Standardization of Protocols:</w:t>
      </w:r>
      <w:r>
        <w:t xml:space="preserve"> </w:t>
      </w:r>
      <w:r>
        <w:t xml:space="preserve">Develop and implement clinic-wide standard operating procedures (SOPs) for anesthesia, surgery, and emergency care.</w:t>
      </w:r>
    </w:p>
    <w:p>
      <w:pPr>
        <w:numPr>
          <w:ilvl w:val="0"/>
          <w:numId w:val="1002"/>
        </w:numPr>
        <w:pStyle w:val="Compact"/>
      </w:pPr>
      <w:r>
        <w:rPr>
          <w:bCs/>
          <w:b/>
        </w:rPr>
        <w:t xml:space="preserve">Enhanced Record Keeping:</w:t>
      </w:r>
      <w:r>
        <w:t xml:space="preserve"> </w:t>
      </w:r>
      <w:r>
        <w:t xml:space="preserve">Transition to digital medical record systems to improve data accuracy, accessibility, and compliance with Uzbekistan's regulatory requirements.</w:t>
      </w:r>
    </w:p>
    <w:p>
      <w:pPr>
        <w:numPr>
          <w:ilvl w:val="0"/>
          <w:numId w:val="1002"/>
        </w:numPr>
        <w:pStyle w:val="Compact"/>
      </w:pPr>
      <w:r>
        <w:rPr>
          <w:bCs/>
          <w:b/>
        </w:rPr>
        <w:t xml:space="preserve">Public Health Collaboration:</w:t>
      </w:r>
      <w:r>
        <w:t xml:space="preserve"> </w:t>
      </w:r>
      <w:r>
        <w:t xml:space="preserve">Strengthen collaboration with public health authorities to monitor and control zoonotic diseases, reinforcing the Veterinarian's role in One Health initiatives.</w:t>
      </w:r>
    </w:p>
    <w:bookmarkEnd w:id="29"/>
    <w:bookmarkStart w:id="30" w:name="conclusion"/>
    <w:p>
      <w:pPr>
        <w:pStyle w:val="Heading2"/>
      </w:pPr>
      <w:r>
        <w:t xml:space="preserve">6. Conclusion</w:t>
      </w:r>
    </w:p>
    <w:p>
      <w:pPr>
        <w:pStyle w:val="FirstParagraph"/>
      </w:pPr>
      <w:r>
        <w:t xml:space="preserve">The veterinary profession in Tashkent, Uzbekistan, is at a pivotal stage of development. The Veterinarian plays a crucial role in safeguarding animal welfare, supporting the agricultural economy, and protecting public health. While there are commendable efforts towards modernization, this Peer Review Report underscores the necessity for continuous improvement in clinical standards, diagnostic capabilities, and regulatory compliance.</w:t>
      </w:r>
    </w:p>
    <w:p>
      <w:pPr>
        <w:pStyle w:val="BodyText"/>
      </w:pPr>
      <w:r>
        <w:t xml:space="preserve">By implementing the recommendations outlined in this document, veterinary practitioners in Tashkent can elevate the quality of care they provide, ensuring that they meet both local expectations and international benchmarks. The future of veterinary medicine in Uzbekistan depends on the commitment of the Veterinarian to lifelong learning, ethical practice, and the relentless pursuit of excellence in animal healthcare.</w:t>
      </w:r>
    </w:p>
    <w:bookmarkEnd w:id="30"/>
    <w:p>
      <w:pPr>
        <w:pStyle w:val="BodyText"/>
      </w:pPr>
      <w:r>
        <w:rPr>
          <w:bCs/>
          <w:b/>
        </w:rPr>
        <w:t xml:space="preserve">Report Prepared By:</w:t>
      </w:r>
    </w:p>
    <w:p>
      <w:pPr>
        <w:pStyle w:val="BodyText"/>
      </w:pPr>
      <w:r>
        <w:t xml:space="preserve">Dr. Elena Petrova</w:t>
      </w:r>
    </w:p>
    <w:p>
      <w:pPr>
        <w:pStyle w:val="BodyText"/>
      </w:pPr>
      <w:r>
        <w:t xml:space="preserve">Senior Veterinary Consultant</w:t>
      </w:r>
    </w:p>
    <w:p>
      <w:pPr>
        <w:pStyle w:val="BodyText"/>
      </w:pPr>
      <w:r>
        <w:t xml:space="preserve">Independent Veterinary Peer Review Committee</w:t>
      </w:r>
    </w:p>
    <w:p>
      <w:pPr>
        <w:pStyle w:val="BodyText"/>
      </w:pP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Tashkent, Uzbekistan</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