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Frankfurt,</w:t>
      </w:r>
      <w:r>
        <w:t xml:space="preserve"> </w:t>
      </w:r>
      <w:r>
        <w:t xml:space="preserve">Germany</w:t>
      </w:r>
    </w:p>
    <w:bookmarkStart w:id="28" w:name="peer-review-report-web-designer"/>
    <w:p>
      <w:pPr>
        <w:pStyle w:val="Heading1"/>
      </w:pPr>
      <w:r>
        <w:t xml:space="preserve">Peer Review Report: Web Designer</w:t>
      </w:r>
    </w:p>
    <w:bookmarkStart w:id="20" w:name="executive-summary"/>
    <w:p>
      <w:pPr>
        <w:pStyle w:val="Heading2"/>
      </w:pPr>
      <w:r>
        <w:t xml:space="preserve">1. Executive Summary</w:t>
      </w:r>
    </w:p>
    <w:p>
      <w:pPr>
        <w:pStyle w:val="FirstParagraph"/>
      </w:pPr>
      <w:r>
        <w:t xml:space="preserve">This Peer Review Report has been conducted to evaluate the professional performance, technical proficiency, and design capabilities of a Web Designer operating within the dynamic digital landscape of Germany Frankfurt. As a major financial and technological hub in Europe, Frankfurt demands a high standard of digital presence for its corporations, startups, and public institutions. This review assesses the subject's ability to meet these rigorous local and international standards, focusing on user experience (UX), user interface (UI) design, technical implementation, and adherence to German regulatory frameworks.</w:t>
      </w:r>
    </w:p>
    <w:bookmarkEnd w:id="20"/>
    <w:bookmarkStart w:id="21" w:name="project-context-and-scope"/>
    <w:p>
      <w:pPr>
        <w:pStyle w:val="Heading2"/>
      </w:pPr>
      <w:r>
        <w:t xml:space="preserve">2. Project Context and Scope</w:t>
      </w:r>
    </w:p>
    <w:p>
      <w:pPr>
        <w:pStyle w:val="FirstParagraph"/>
      </w:pPr>
      <w:r>
        <w:t xml:space="preserve">The review covers a period of six months during which the Web Designer was responsible for the redesign and optimization of corporate websites for clients based in the Frankfurt metropolitan area. The scope included responsive web design, accessibility compliance, performance optimization, and the integration of modern design systems. The evaluation is based on code audits, design file reviews, stakeholder feedback, and comparative analysis against industry benchmarks prevalent in the German market.</w:t>
      </w:r>
    </w:p>
    <w:bookmarkEnd w:id="21"/>
    <w:bookmarkStart w:id="22" w:name="technical-proficiency-and-code-quality"/>
    <w:p>
      <w:pPr>
        <w:pStyle w:val="Heading2"/>
      </w:pPr>
      <w:r>
        <w:t xml:space="preserve">3. Technical Proficiency and Code Quality</w:t>
      </w:r>
    </w:p>
    <w:p>
      <w:pPr>
        <w:pStyle w:val="FirstParagraph"/>
      </w:pPr>
      <w:r>
        <w:t xml:space="preserve">A critical aspect of this Peer Review Report is the assessment of the Web Designer's technical execution. In the competitive environment of Germany Frankfurt, where digital infrastructure is paramount, clean and efficient code is non-negotiable. The subject demonstrated a strong command of HTML5, CSS3, and JavaScript. The code structure was semantic, ensuring that search engines could effectively index the content, which is vital for local SEO strategies in the Frankfurt region.</w:t>
      </w:r>
    </w:p>
    <w:p>
      <w:pPr>
        <w:pStyle w:val="BodyText"/>
      </w:pPr>
      <w:r>
        <w:t xml:space="preserve">Furthermore, the implementation of responsive design principles was exemplary. Given the high mobile usage rates in Germany, the designs adapted seamlessly across various devices. The use of modern CSS frameworks and pre-processors was appropriate, reducing redundancy and improving maintainability. However, the review noted that while the JavaScript interactions were smooth, there were minor opportunities to optimize bundle sizes to further enhance page load speeds, a key metric for user retention in high-speed urban markets like Frankfurt.</w:t>
      </w:r>
    </w:p>
    <w:bookmarkEnd w:id="22"/>
    <w:bookmarkStart w:id="23" w:name="design-aesthetics-and-user-experience-ux"/>
    <w:p>
      <w:pPr>
        <w:pStyle w:val="Heading2"/>
      </w:pPr>
      <w:r>
        <w:t xml:space="preserve">4. Design Aesthetics and User Experience (UX)</w:t>
      </w:r>
    </w:p>
    <w:p>
      <w:pPr>
        <w:pStyle w:val="FirstParagraph"/>
      </w:pPr>
      <w:r>
        <w:t xml:space="preserve">The visual language employed by the Web Designer aligns well with the contemporary design trends observed in Germany Frankfurt. The aesthetic is characterized by minimalism, clarity, and functionality—traits that resonate with the professional and business-oriented culture of the city. The color palettes and typography choices were sophisticated, avoiding clutter and focusing on content hierarchy.</w:t>
      </w:r>
    </w:p>
    <w:p>
      <w:pPr>
        <w:pStyle w:val="BodyText"/>
      </w:pPr>
      <w:r>
        <w:t xml:space="preserve">From a UX perspective, the navigation structures were intuitive. The subject successfully reduced the cognitive load for users, ensuring that key information was accessible within three clicks. This is particularly important for B2B clients in Frankfurt’s financial sector, where efficiency is valued. The review highlights that the designer effectively utilized whitespace to guide the user’s eye, creating a premium feel that reflects the high standards of the local market.</w:t>
      </w:r>
    </w:p>
    <w:bookmarkEnd w:id="23"/>
    <w:bookmarkStart w:id="24" w:name="accessibility-and-regulatory-compliance"/>
    <w:p>
      <w:pPr>
        <w:pStyle w:val="Heading2"/>
      </w:pPr>
      <w:r>
        <w:t xml:space="preserve">5. Accessibility and Regulatory Compliance</w:t>
      </w:r>
    </w:p>
    <w:p>
      <w:pPr>
        <w:pStyle w:val="FirstParagraph"/>
      </w:pPr>
      <w:r>
        <w:t xml:space="preserve">One of the most significant findings in this Peer Review Report concerns accessibility. In Germany, adherence to the BITV (Barrierefreie-Informationstechnik-Verordnung) is not just a best practice but a legal requirement for many public and private entities. The Web Designer showed a commendable understanding of WCAG 2.1 guidelines. Elements such as alt text for images, proper contrast ratios, and keyboard navigability were consistently implemented.</w:t>
      </w:r>
    </w:p>
    <w:p>
      <w:pPr>
        <w:pStyle w:val="BodyText"/>
      </w:pPr>
      <w:r>
        <w:t xml:space="preserve">Additionally, the review assessed the handling of data privacy, a critical concern in Germany. The designs incorporated necessary elements for GDPR (General Data Protection Regulation) compliance, including clear cookie consent banners and privacy policy links. This attention to legal detail is essential for any Web Designer operating in Germany Frankfurt, where data protection laws are strictly enforced.</w:t>
      </w:r>
    </w:p>
    <w:bookmarkEnd w:id="24"/>
    <w:bookmarkStart w:id="25" w:name="collaboration-and-communication"/>
    <w:p>
      <w:pPr>
        <w:pStyle w:val="Heading2"/>
      </w:pPr>
      <w:r>
        <w:t xml:space="preserve">6. Collaboration and Communication</w:t>
      </w:r>
    </w:p>
    <w:p>
      <w:pPr>
        <w:pStyle w:val="FirstParagraph"/>
      </w:pPr>
      <w:r>
        <w:t xml:space="preserve">The Web Designer’s ability to collaborate with cross-functional teams was also evaluated. In the fast-paced environment of Frankfurt, effective communication between designers, developers, and stakeholders is crucial. The subject demonstrated strong interpersonal skills, providing clear rationale for design decisions and being receptive to feedback. The documentation provided for design handoffs was thorough, reducing friction during the development phase.</w:t>
      </w:r>
    </w:p>
    <w:bookmarkEnd w:id="25"/>
    <w:bookmarkStart w:id="26" w:name="areas-for-improvement"/>
    <w:p>
      <w:pPr>
        <w:pStyle w:val="Heading2"/>
      </w:pPr>
      <w:r>
        <w:t xml:space="preserve">7. Areas for Improvement</w:t>
      </w:r>
    </w:p>
    <w:p>
      <w:pPr>
        <w:pStyle w:val="FirstParagraph"/>
      </w:pPr>
      <w:r>
        <w:t xml:space="preserve">While the overall performance is strong, this Peer Review Report identifies areas for growth. First, there is a need to deepen expertise in motion design and micro-interactions to further engage users. Second, while the German language support was adequate, expanding localization capabilities for other languages could benefit Frankfurt’s international clients. Finally, staying updated with the latest advancements in AI-driven design tools could enhance productivity.</w:t>
      </w:r>
    </w:p>
    <w:bookmarkEnd w:id="26"/>
    <w:bookmarkStart w:id="27" w:name="conclusion"/>
    <w:p>
      <w:pPr>
        <w:pStyle w:val="Heading2"/>
      </w:pPr>
      <w:r>
        <w:t xml:space="preserve">8. Conclusion</w:t>
      </w:r>
    </w:p>
    <w:p>
      <w:pPr>
        <w:pStyle w:val="FirstParagraph"/>
      </w:pPr>
      <w:r>
        <w:t xml:space="preserve">In conclusion, this Web Designer has demonstrated a high level of competence and professionalism suitable for the demanding market of Germany Frankfurt. The combination of technical skill, aesthetic sensibility, and regulatory awareness makes them a valuable asset. By addressing the minor areas for improvement identified in this Peer Review Report, they can further elevate their standing in the industry.</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UX Architect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Frankfurt,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Frankfurt, Germany</dc:title>
  <dc:creator/>
  <dc:language>en</dc:language>
  <cp:keywords/>
  <dcterms:created xsi:type="dcterms:W3CDTF">2026-10-10T09:17:36Z</dcterms:created>
  <dcterms:modified xsi:type="dcterms:W3CDTF">2026-10-10T09:17:36Z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