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Wellington</w:t>
      </w:r>
    </w:p>
    <w:bookmarkStart w:id="26" w:name="X5791e2958a003b5bf6bff8d54c89de4f8ceda90"/>
    <w:p>
      <w:pPr>
        <w:pStyle w:val="Heading1"/>
      </w:pPr>
      <w:r>
        <w:t xml:space="preserve">Personal Statement for Architectural Practice in New Zealand Wellington</w:t>
      </w:r>
    </w:p>
    <w:p>
      <w:pPr>
        <w:pStyle w:val="FirstParagraph"/>
      </w:pPr>
      <w:r>
        <w:t xml:space="preserve">From my first encounter with the dynamic urban fabric of Wellington during a study tour in 2019, I recognized that this city embodies the profound intersection where architectural innovation meets cultural identity and environmental resilience—a synergy I am passionately committed to advancing through my career as an Architect. My personal statement reflects not merely an application for professional practice, but a covenant to contribute meaningfully to Wellington’s evolving architectural narrative within New Zealand’s unique ecological and cultural context.</w:t>
      </w:r>
    </w:p>
    <w:bookmarkStart w:id="20" w:name="X42f69ec71264334a0c86fceee58a1a290898f22"/>
    <w:p>
      <w:pPr>
        <w:pStyle w:val="Heading2"/>
      </w:pPr>
      <w:r>
        <w:t xml:space="preserve">Rooted in Global Experience, Focused on Wellington's Distinctive Spirit</w:t>
      </w:r>
    </w:p>
    <w:p>
      <w:pPr>
        <w:pStyle w:val="FirstParagraph"/>
      </w:pPr>
      <w:r>
        <w:t xml:space="preserve">Having completed my Master of Architecture at the University of Melbourne with a specialisation in sustainable urban design, I have honed my practice across diverse landscapes—from Singapore’s tropical high-rises to Copenhagen’s circular city planning. Yet it was Wellington that captivated me most profoundly. Its dramatic topography, where volcanic peaks meet the Tasman Sea, demands architecture that doesn’t just sit within the landscape but actively converses with it. I recall walking through Te Aro and observing how heritage buildings like the Old Government Building coexist with contemporary structures such as The CUB by Rātana Group, a testament to Wellington’s ability to honour its past while embracing future possibilities. This city doesn’t just need architects; it needs practitioners who understand that every design decision must respect both the physical terrain and the living culture of Aotearoa.</w:t>
      </w:r>
    </w:p>
    <w:bookmarkEnd w:id="20"/>
    <w:bookmarkStart w:id="21" w:name="X535db9ce59f84c6aee642b5bfe0cc1afd9365a2"/>
    <w:p>
      <w:pPr>
        <w:pStyle w:val="Heading2"/>
      </w:pPr>
      <w:r>
        <w:t xml:space="preserve">Embracing New Zealand’s Architectural Philosophy</w:t>
      </w:r>
    </w:p>
    <w:p>
      <w:pPr>
        <w:pStyle w:val="FirstParagraph"/>
      </w:pPr>
      <w:r>
        <w:t xml:space="preserve">My professional ethos aligns with New Zealand’s core architectural principles, particularly the Te Tiriti o Waitangi (Treaty of Waitangi) framework and Māori concepts like kaitiakitanga (guardianship). In my recent role at a Christchurch studio, I collaborated with Ngāti Rarua hapū on the Waimakariri River Community Hub, integrating whakapapa (genealogy) into spatial storytelling through timber motifs inspired by local pōhutukawa roots. This project taught me that in New Zealand architecture, sustainability transcends energy efficiency—it requires cultural reciprocity. I have since immersed myself in the New Zealand Building Code’s seismic design requirements and the Ministry of Health’s wellbeing-focused guidelines, ensuring my practice doesn’t merely comply but elevates standards for communities.</w:t>
      </w:r>
    </w:p>
    <w:bookmarkEnd w:id="21"/>
    <w:bookmarkStart w:id="22" w:name="Xf8ba5d9bac7605eb3168d1f4fda997303891531"/>
    <w:p>
      <w:pPr>
        <w:pStyle w:val="Heading2"/>
      </w:pPr>
      <w:r>
        <w:t xml:space="preserve">Wellington as Catalyst for Innovative Practice</w:t>
      </w:r>
    </w:p>
    <w:p>
      <w:pPr>
        <w:pStyle w:val="FirstParagraph"/>
      </w:pPr>
      <w:r>
        <w:t xml:space="preserve">Wellington’s status as New Zealand’s capital of creativity and its ambitious Climate Action Plan (targeting net-zero by 2050) present unparalleled opportunities to pioneer regenerative architecture. I am particularly inspired by the city’s commitment to "Aotearoa's Capital for Design," evidenced in projects like the proposed Te Kōhanga Māori cultural precinct near Civic Square. As an Architect, I envision contributing to such initiatives through my expertise in passive heating/cooling systems adapted to Wellington’s maritime climate—such as leveraging the city’s consistent westerly winds for natural ventilation, or designing multi-story residential complexes that integrate with the city’s iconic hills via public stairways and sky terraces. My proposal for "Vertical Te Whariki" (a Māori-inspired modular housing system) demonstrates this fusion: using locally sourced kauri wood in prefabricated units that reduce construction waste while creating communal spaces echoing traditional māra kai (food gardens).</w:t>
      </w:r>
    </w:p>
    <w:bookmarkEnd w:id="22"/>
    <w:bookmarkStart w:id="23" w:name="addressing-wellingtons-unique-challenges"/>
    <w:p>
      <w:pPr>
        <w:pStyle w:val="Heading2"/>
      </w:pPr>
      <w:r>
        <w:t xml:space="preserve">Addressing Wellington’s Unique Challenges</w:t>
      </w:r>
    </w:p>
    <w:p>
      <w:pPr>
        <w:pStyle w:val="FirstParagraph"/>
      </w:pPr>
      <w:r>
        <w:t xml:space="preserve">Wellington’s seismic vulnerability and coastal exposure necessitate architecture that is both resilient and responsive. During my work on the Auckland Light Rail project, I developed earthquake-resistant timber-frame systems now being adapted for Wellington’s low-rise heritage districts. I am equally committed to addressing the city’s housing crisis through adaptive reuse—I recently led a team in converting a disused 1950s cinema into affordable co-housing with solar microgrids, proving that historic preservation can drive social equity. In New Zealand Wellington, where space is precious and culture is vibrant, architecture must solve problems while amplifying community voice. My approach includes participatory workshops with local iwi (tribes) like Te Āti Awa to ensure designs reflect the mana (prestige) of place.</w:t>
      </w:r>
    </w:p>
    <w:bookmarkEnd w:id="23"/>
    <w:bookmarkStart w:id="24" w:name="X62f5c8a31e7933ad61e59e0ee431c0bdb2fa715"/>
    <w:p>
      <w:pPr>
        <w:pStyle w:val="Heading2"/>
      </w:pPr>
      <w:r>
        <w:t xml:space="preserve">Why Wellington? A City of Uncompromising Integrity</w:t>
      </w:r>
    </w:p>
    <w:p>
      <w:pPr>
        <w:pStyle w:val="FirstParagraph"/>
      </w:pPr>
      <w:r>
        <w:t xml:space="preserve">What draws me irrevocably to Wellington is its unwavering commitment to architectural integrity. Unlike cities chasing global trends, Wellington champions local identity—from the organic forms of the National Museum Te Papa (designed by Warren and Mahoney) to the boldness of Suter’s "The Well" development. This city doesn’t just tolerate diversity; it celebrates it through architecture that reflects Māori cosmology, immigrant narratives, and environmental urgency. I see my role as an Architect not as a creator of isolated objects but as a facilitator who helps Wellington tell its own story through built form. The opportunity to contribute to the ongoing revitalisation of Thorndon’s historic streets or the development of the Wellington Waterfront Masterplan—where every new structure must harmonise with the city’s wind patterns and cultural layers—is precisely where my skills can make a tangible difference.</w:t>
      </w:r>
    </w:p>
    <w:bookmarkEnd w:id="24"/>
    <w:bookmarkStart w:id="25" w:name="a-future-forged-in-collaboration"/>
    <w:p>
      <w:pPr>
        <w:pStyle w:val="Heading2"/>
      </w:pPr>
      <w:r>
        <w:t xml:space="preserve">A Future Forged in Collaboration</w:t>
      </w:r>
    </w:p>
    <w:p>
      <w:pPr>
        <w:pStyle w:val="FirstParagraph"/>
      </w:pPr>
      <w:r>
        <w:t xml:space="preserve">My ultimate vision is to establish a practice that embodies Wellington’s spirit: collaborative, culturally aware, and ecologically courageous. I plan to partner with local entities like the Wellington City Council’s Urban Design Unit and Māori-led organisations such as Whānau Ora Trust to develop projects where architecture becomes a tool for social regeneration. As an Architect committed to New Zealand, I will uphold the country’s unique values—where a building isn’t just constructed but kaitiaki (guardian) of place. In Wellington, where the wind carries stories from Te Whanganui-a-Tara’s shores, my work will seek to create spaces that breathe with the city’s heartbeat.</w:t>
      </w:r>
    </w:p>
    <w:p>
      <w:pPr>
        <w:pStyle w:val="BodyText"/>
      </w:pPr>
      <w:r>
        <w:t xml:space="preserve">To join Wellington as an Architect is not merely a career step; it is a commitment to stewardship. I am ready to bring my technical expertise, cultural humility, and passion for resilient design to a city that has already shown me what truly meaningful architecture can be—a living testament to Aotearoa’s past, present, and future.</w:t>
      </w:r>
    </w:p>
    <w:p>
      <w:pPr>
        <w:pStyle w:val="BodyText"/>
      </w:pPr>
      <w:r>
        <w:t xml:space="preserve">— [Your Name],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Wellington</dc:title>
  <dc:creator/>
  <dc:language>en</dc:language>
  <cp:keywords/>
  <dcterms:created xsi:type="dcterms:W3CDTF">2026-07-21T05:00:37Z</dcterms:created>
  <dcterms:modified xsi:type="dcterms:W3CDTF">2026-07-21T05:00:37Z</dcterms:modified>
</cp:coreProperties>
</file>

<file path=docProps/custom.xml><?xml version="1.0" encoding="utf-8"?>
<Properties xmlns="http://schemas.openxmlformats.org/officeDocument/2006/custom-properties" xmlns:vt="http://schemas.openxmlformats.org/officeDocument/2006/docPropsVTypes"/>
</file>