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Pharmacist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7" w:name="X0a75fcf041d3f80945df045eb89acee4c7da50d"/>
    <w:p>
      <w:pPr>
        <w:pStyle w:val="Heading1"/>
      </w:pPr>
      <w:r>
        <w:t xml:space="preserve">Personal Statement for Pharmacist Position</w:t>
      </w:r>
    </w:p>
    <w:p>
      <w:pPr>
        <w:pStyle w:val="FirstParagraph"/>
      </w:pPr>
      <w:r>
        <w:t xml:space="preserve">As a dedicated and compassionate pharmacist with extensive clinical experience, I am writing to express my enthusiastic interest in contributing to the healthcare landscape of Kuala Lumpur, Malaysia. My professional journey has been meticulously aligned with the values of patient-centered care, pharmaceutical excellence, and community health advancement—principles that resonate profoundly with Malaysia's National Pharmaceutical Policy and the transformative vision of KL's healthcare ecosystem.</w:t>
      </w:r>
    </w:p>
    <w:bookmarkStart w:id="20" w:name="X7e8f39f0a3cb0882ebd94f10693b4840906231a"/>
    <w:p>
      <w:pPr>
        <w:pStyle w:val="Heading2"/>
      </w:pPr>
      <w:r>
        <w:t xml:space="preserve">Academic Foundation and Professional Commitment</w:t>
      </w:r>
    </w:p>
    <w:p>
      <w:pPr>
        <w:pStyle w:val="FirstParagraph"/>
      </w:pPr>
      <w:r>
        <w:t xml:space="preserve">I hold a Bachelor of Pharmacy degree from the University of Science Malaysia (USM), where I graduated with honors and completed my mandatory pharmacy internship at Hospital Sultanah Aminah in Johor Bahru. This foundational period immersed me in Malaysia's healthcare framework, reinforcing my understanding of the</w:t>
      </w:r>
      <w:r>
        <w:t xml:space="preserve"> </w:t>
      </w:r>
      <w:r>
        <w:rPr>
          <w:iCs/>
          <w:i/>
        </w:rPr>
        <w:t xml:space="preserve">Maklumat Perubatan dan Farmaseutikal</w:t>
      </w:r>
      <w:r>
        <w:t xml:space="preserve"> </w:t>
      </w:r>
      <w:r>
        <w:t xml:space="preserve">(Medical and Pharmaceutical Information) system under the Ministry of Health (MOH) guidelines. My thesis on "Optimizing Antimicrobial Stewardship Programs in Urban Malaysian Hospitals" directly addressed a critical national priority, analyzing drug resistance patterns prevalent in Kuala Lumpur's dense urban centers where over 80% of Malaysia's population resides.</w:t>
      </w:r>
    </w:p>
    <w:bookmarkEnd w:id="20"/>
    <w:bookmarkStart w:id="21" w:name="X9b63d8d3180cc19fb13f874d622b8789bd6bf91"/>
    <w:p>
      <w:pPr>
        <w:pStyle w:val="Heading2"/>
      </w:pPr>
      <w:r>
        <w:t xml:space="preserve">Clinical Experience Rooted in Kuala Lumpur Context</w:t>
      </w:r>
    </w:p>
    <w:p>
      <w:pPr>
        <w:pStyle w:val="FirstParagraph"/>
      </w:pPr>
      <w:r>
        <w:t xml:space="preserve">My most impactful experience was a year-long clinical pharmacy residency at the University of Malaya Medical Centre (UMMC) in Kuala Lumpur. Here, I collaborated with MOH-endorsed multidisciplinary teams to manage complex cases in cardiology and diabetes—conditions affecting 32% of Malaysians aged 30-69 according to the National Health Morbidity Survey. I developed patient counseling protocols for Malay, Chinese, and Indian communities in KL’s multicultural neighborhoods, ensuring culturally competent medication education. For instance, I created visual aids explaining hypertension management in Bahasa Melayu and Tamil for elderly patients in Taman Melawati—a neighborhood with high diabetic prevalence—resulting in 27% improved adherence scores.</w:t>
      </w:r>
    </w:p>
    <w:bookmarkEnd w:id="21"/>
    <w:bookmarkStart w:id="22" w:name="Xe5c457542e865bd1085ed76780a6658c93fa79b"/>
    <w:p>
      <w:pPr>
        <w:pStyle w:val="Heading2"/>
      </w:pPr>
      <w:r>
        <w:t xml:space="preserve">Understanding Malaysia's Pharmaceutical Landscape</w:t>
      </w:r>
    </w:p>
    <w:p>
      <w:pPr>
        <w:pStyle w:val="FirstParagraph"/>
      </w:pPr>
      <w:r>
        <w:t xml:space="preserve">I deeply understand the regulatory environment governing pharmacy practice in Malaysia, including the Pharmacy Act 1978 and MCA (Malaysian Pharmaceutical Society) standards. At KL’s renowned Sunway Medical Centre, I spearheaded a medication safety initiative that reduced dispensing errors by 40% through implementing MOH’s ePharmacy System v3.0—a digital solution now adopted across Kuala Lumpur public health facilities. I also participated in the Klinik Kesihatan (Community Health Clinic) program at Kampung Baru, where I provided essential chronic disease management for low-income families, embodying Malaysia’s commitment to equitable healthcare access as outlined in the National Health Blueprint 2021-2030.</w:t>
      </w:r>
    </w:p>
    <w:bookmarkEnd w:id="22"/>
    <w:bookmarkStart w:id="23" w:name="Xda7d7e42d82ef6b5b81dc7f30c8820cdba0fdc4"/>
    <w:p>
      <w:pPr>
        <w:pStyle w:val="Heading2"/>
      </w:pPr>
      <w:r>
        <w:t xml:space="preserve">Skills Aligned with Kuala Lumpur's Healthcare Needs</w:t>
      </w:r>
    </w:p>
    <w:p>
      <w:pPr>
        <w:pStyle w:val="FirstParagraph"/>
      </w:pPr>
      <w:r>
        <w:t xml:space="preserve">My technical proficiency extends to managing the Malaysian Medicines Regulatory Authority (MRA)-approved drug databases and utilizing KL’s integrated health information systems. During the pandemic, I trained 15 community pharmacists across Kuala Lumpur on vaccine cold-chain protocols for Pfizer-BioNTech and AstraZeneca, directly supporting MOH’s National Covid-19 Immunization Program. Beyond clinical skills, I possess fluency in Bahasa Melayu (C2), English (C2), Mandarin (B1), and Tamil (A2)—critical for engaging KL's multilingual population. My volunteer work with</w:t>
      </w:r>
      <w:r>
        <w:t xml:space="preserve"> </w:t>
      </w:r>
      <w:r>
        <w:rPr>
          <w:iCs/>
          <w:i/>
        </w:rPr>
        <w:t xml:space="preserve">Gerakan Kesihatan Malaysia</w:t>
      </w:r>
      <w:r>
        <w:t xml:space="preserve"> </w:t>
      </w:r>
      <w:r>
        <w:t xml:space="preserve">at the Petaling Jaya Community Health Centre honed my ability to navigate community-specific health challenges, such as addressing vaccine hesitancy in immigrant communities from Indonesia and Myanmar.</w:t>
      </w:r>
    </w:p>
    <w:bookmarkEnd w:id="23"/>
    <w:bookmarkStart w:id="24" w:name="X70f2c124adfaa2fbd40cb628649205d0536102a"/>
    <w:p>
      <w:pPr>
        <w:pStyle w:val="Heading2"/>
      </w:pPr>
      <w:r>
        <w:t xml:space="preserve">Why Kuala Lumpur? A Personal and Professional Convergence</w:t>
      </w:r>
    </w:p>
    <w:p>
      <w:pPr>
        <w:pStyle w:val="FirstParagraph"/>
      </w:pPr>
      <w:r>
        <w:t xml:space="preserve">Kuala Lumpur is not merely a location for my career—it is the crucible where I wish to apply my passion. The city’s dynamic blend of world-class hospitals (like Gleneagles), community clinics, and burgeoning telepharmacy services presents an unparalleled environment to innovate. I am particularly inspired by the</w:t>
      </w:r>
      <w:r>
        <w:t xml:space="preserve"> </w:t>
      </w:r>
      <w:r>
        <w:rPr>
          <w:iCs/>
          <w:i/>
        </w:rPr>
        <w:t xml:space="preserve">Smart Health City</w:t>
      </w:r>
      <w:r>
        <w:t xml:space="preserve"> </w:t>
      </w:r>
      <w:r>
        <w:t xml:space="preserve">initiative in KL, which leverages AI for drug inventory management—aligning with my expertise in data-driven pharmacy solutions. Living in Bukit Bintang, I’ve witnessed firsthand how accessible pharmaceutical care impacts communities; my neighbors rely on local chemists for everything from asthma management to mental health support, reinforcing my commitment to serving this vibrant city.</w:t>
      </w:r>
    </w:p>
    <w:bookmarkEnd w:id="24"/>
    <w:bookmarkStart w:id="25" w:name="future-vision-for-malaysian-pharmacy"/>
    <w:p>
      <w:pPr>
        <w:pStyle w:val="Heading2"/>
      </w:pPr>
      <w:r>
        <w:t xml:space="preserve">Future Vision for Malaysian Pharmacy</w:t>
      </w:r>
    </w:p>
    <w:p>
      <w:pPr>
        <w:pStyle w:val="FirstParagraph"/>
      </w:pPr>
      <w:r>
        <w:t xml:space="preserve">I envision myself contributing to Malaysia’s pharmaceutical advancement by developing culturally tailored medication adherence programs for KL’s aging population. With the government prioritizing pharmacists in primary care through the</w:t>
      </w:r>
      <w:r>
        <w:t xml:space="preserve"> </w:t>
      </w:r>
      <w:r>
        <w:rPr>
          <w:iCs/>
          <w:i/>
        </w:rPr>
        <w:t xml:space="preserve">Pharmacist-led Chronic Disease Management Program</w:t>
      </w:r>
      <w:r>
        <w:t xml:space="preserve">, I aim to pioneer community-based models that reduce hospital readmissions—a key goal of MOH’s 2030 health strategy. My long-term aspiration is to collaborate with Universiti Kebangsaan Malaysia (UKM) on research addressing medication disparities in KL’s underserved districts, ensuring every resident benefits from Malaysia’s healthcare progress.</w:t>
      </w:r>
    </w:p>
    <w:bookmarkEnd w:id="25"/>
    <w:bookmarkStart w:id="26" w:name="Xc880173f026c8ff444b84502fd15f9ad4d5fd02"/>
    <w:p>
      <w:pPr>
        <w:pStyle w:val="Heading2"/>
      </w:pPr>
      <w:r>
        <w:t xml:space="preserve">Conclusion: A Lifelong Commitment to KL's Health</w:t>
      </w:r>
    </w:p>
    <w:p>
      <w:pPr>
        <w:pStyle w:val="FirstParagraph"/>
      </w:pPr>
      <w:r>
        <w:t xml:space="preserve">Pharmacy, for me, transcends dispensing medications—it is about building trust in communities where health equity remains a national imperative. In Kuala Lumpur’s bustling streets and serene neighborhoods, I have seen how a pharmacist’s counsel can alter life trajectories. I am ready to bring my clinical expertise, cultural sensitivity, and unwavering dedication to your team—ensuring that every prescription I handle advances Malaysia’s journey toward a healthier future. As the nation strides toward universal healthcare coverage under the National Health Insurance Scheme (MyHealth), I am eager to stand at the forefront of this movement in Kuala Lumpur: where my professional purpose meets Malaysia’s greatest need.</w:t>
      </w:r>
    </w:p>
    <w:p>
      <w:pPr>
        <w:pStyle w:val="BodyText"/>
      </w:pPr>
      <w:r>
        <w:t xml:space="preserve">Word Count: 842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Pharmacist Application - Kuala Lumpur, Malaysia</dc:title>
  <dc:creator/>
  <dc:language>en</dc:language>
  <cp:keywords/>
  <dcterms:created xsi:type="dcterms:W3CDTF">2026-07-20T15:51:25Z</dcterms:created>
  <dcterms:modified xsi:type="dcterms:W3CDTF">2026-07-20T15:51:25Z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