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10a4485db1a4ff31fadd961f4efafd2768cb1a4"/>
    <w:p>
      <w:pPr>
        <w:pStyle w:val="Heading1"/>
      </w:pPr>
      <w:r>
        <w:t xml:space="preserve">Personal Statement: Pursuing Excellence as a University Lecturer in Kuwait City</w:t>
      </w:r>
    </w:p>
    <w:p>
      <w:pPr>
        <w:pStyle w:val="FirstParagraph"/>
      </w:pPr>
      <w:r>
        <w:t xml:space="preserve">With profound respect for Kuwait's visionary commitment to academic excellence and its strategic position as an educational hub in the Gulf, I present this personal statement to express my unwavering dedication to serving as a University Lecturer at a premier institution within Kuwait City. My academic journey, professional experience, and deep cultural appreciation converge with the aspirations of Kuwait's National Vision 2035 to foster transformative education that resonates with both local and global standards. This document articulates why I am uniquely positioned to contribute meaningfully to the intellectual landscape of Kuwait City's higher education sector.</w:t>
      </w:r>
    </w:p>
    <w:p>
      <w:pPr>
        <w:pStyle w:val="BodyText"/>
      </w:pPr>
      <w:r>
        <w:t xml:space="preserve">My doctoral research in Comparative Education, completed at the University of Manchester, specifically examined pedagogical innovations within MENA universities, with a dedicated case study on Kuwaiti tertiary institutions. This work revealed critical insights into how culturally responsive teaching methods significantly enhance student engagement and retention rates among Gulf students. I observed that while Kuwait has made remarkable strides in educational infrastructure—evident in landmarks like the Kuwait University campus and emerging private institutions across Kuwait City—there remains a pivotal opportunity to refine teaching approaches that bridge traditional pedagogy with contemporary, skills-based learning. My subsequent five years as a Teaching Fellow at King's College London, where I designed and delivered courses on Global Citizenship and Sustainable Development, equipped me with methodologies directly applicable to enriching the Kuwaiti academic experience. For instance, I developed a curriculum module integrating local case studies from Kuwaiti business practices into global economics lessons—a strategy proven to elevate student motivation by 40% in my prior institution.</w:t>
      </w:r>
    </w:p>
    <w:p>
      <w:pPr>
        <w:pStyle w:val="BodyText"/>
      </w:pPr>
      <w:r>
        <w:t xml:space="preserve">As a University Lecturer, I am committed to embodying the dual mandate of knowledge transmission and cultural mentorship that defines excellence in Kuwait City's academic ecosystem. My teaching philosophy centers on three pillars: contextual relevance, ethical leadership, and inclusive innovation. In Kuwait City's dynamic environment, where students increasingly engage with global markets while navigating rich cultural heritage, I prioritize creating classroom spaces where Arabic linguistic nuances and Islamic values are seamlessly integrated into scholarly discourse—not as constraints, but as sources of intellectual depth. For example, in a recent course on Environmental Policy, I collaborated with local environmental NGOs in Kuwait City to develop student projects analyzing water conservation initiatives at the Jaber Al-Ahmad Cultural Centre. This approach not only met academic benchmarks but also fostered civic responsibility aligned with Kuwait’s National Biodiversity Strategy.</w:t>
      </w:r>
    </w:p>
    <w:p>
      <w:pPr>
        <w:pStyle w:val="BodyText"/>
      </w:pPr>
      <w:r>
        <w:t xml:space="preserve">Furthermore, my research agenda is intrinsically linked to Kuwait’s strategic development goals. I currently lead a project funded by the Kuwait Foundation for the Advancement of Sciences (KFAS), investigating "Digital Literacy Gaps in Gulf Higher Education," which directly supports Vision 2035's focus on technology-driven education. This research has yielded actionable frameworks for curriculum modernization—such as my recent pilot program introducing AI-assisted language tools to enhance Arabic academic writing skills—a model I am eager to implement within Kuwait City’s universities. My publications in journals like the *International Journal of Educational Development* have been cited by policymakers in Kuwait's Ministry of Higher Education, underscoring the practical applicability of my work to national educational priorities.</w:t>
      </w:r>
    </w:p>
    <w:p>
      <w:pPr>
        <w:pStyle w:val="BodyText"/>
      </w:pPr>
      <w:r>
        <w:t xml:space="preserve">Crucially, I recognize that true academic leadership extends beyond the classroom into community and institutional stewardship. In Kuwait City, where universities serve as vital social catalysts, I have initiated cross-cultural student mentorship networks connecting international students with local youth through events like "Kuwaiti Heritage &amp; Innovation Forums" at the Kuwait National Cultural Centre. These gatherings—attended by over 200 students annually—foster mutual understanding and showcase Kuwait’s unique role as a bridge between Eastern and Western thought. My approach to student advising is deeply personal; I have maintained a 95% student satisfaction rate in post-graduation career support through tailored networking with Kuwaiti corporations like Al-Khaleej Petroleum Company, reinforcing my commitment to graduating professionals who elevate national progress.</w:t>
      </w:r>
    </w:p>
    <w:p>
      <w:pPr>
        <w:pStyle w:val="BodyText"/>
      </w:pPr>
      <w:r>
        <w:t xml:space="preserve">My fluency in Arabic (C1 level), cultivated during three years of immersive fieldwork across Kuwait and neighboring Gulf states, allows me to engage authentically with students and colleagues. I understand that effective teaching in Kuwait City requires sensitivity to cultural dynamics—such as the importance of collective learning spaces or respecting hierarchical academic traditions while encouraging critical dialogue. This awareness informs every lecture I design, ensuring that content resonates with local realities without sacrificing academic rigor.</w:t>
      </w:r>
    </w:p>
    <w:p>
      <w:pPr>
        <w:pStyle w:val="BodyText"/>
      </w:pPr>
      <w:r>
        <w:t xml:space="preserve">Ultimately, my aspiration as a University Lecturer is not merely to impart knowledge but to co-create an educational ecosystem where Kuwait City emerges as a beacon of innovative scholarship. I am eager to contribute my expertise in curriculum development, research leadership, and community engagement to advance the mission of institutions like Kuwait University or Gulf University for Science and Technology. In aligning with the Kingdom’s emphasis on nurturing homegrown talent capable of driving economic diversification, I see myself as a catalyst for transformative learning that honors Kuwaiti identity while embracing global excellence.</w:t>
      </w:r>
    </w:p>
    <w:p>
      <w:pPr>
        <w:pStyle w:val="BodyText"/>
      </w:pPr>
      <w:r>
        <w:t xml:space="preserve">Having dedicated my career to elevating education in culturally rich contexts, I am confident that my strategic vision, practical experience, and profound respect for Kuwait’s academic heritage position me to make an immediate impact as a University Lecturer in Kuwait City. I seek not just a role, but a partnership in shaping the next generation of leaders who will propel Kuwait toward its ambitious future.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2026-07-23T17:10:28Z</dcterms:created>
  <dcterms:modified xsi:type="dcterms:W3CDTF">2026-07-23T17:10:28Z</dcterms:modified>
</cp:coreProperties>
</file>

<file path=docProps/custom.xml><?xml version="1.0" encoding="utf-8"?>
<Properties xmlns="http://schemas.openxmlformats.org/officeDocument/2006/custom-properties" xmlns:vt="http://schemas.openxmlformats.org/officeDocument/2006/docPropsVTypes"/>
</file>