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Australia</w:t>
      </w:r>
      <w:r>
        <w:t xml:space="preserve"> </w:t>
      </w:r>
      <w:r>
        <w:t xml:space="preserve">Melbourne</w:t>
      </w:r>
    </w:p>
    <w:bookmarkStart w:id="27" w:name="X29daa0024e86ef8fa96c823d6af1aa0ae159cd1"/>
    <w:p>
      <w:pPr>
        <w:pStyle w:val="Heading1"/>
      </w:pPr>
      <w:r>
        <w:t xml:space="preserve">Bridging Data and Humanity: The Modern Academic Researcher</w:t>
      </w:r>
    </w:p>
    <w:p>
      <w:pPr>
        <w:pStyle w:val="FirstParagraph"/>
      </w:pPr>
      <w:r>
        <w:t xml:space="preserve">A Comprehensive Analysis of Scholarly Contribution, Methodological Rigor, and Institutional Impact within the Australia Melbourne Context.</w:t>
      </w:r>
    </w:p>
    <w:bookmarkStart w:id="20" w:name="executive-summary-research-context"/>
    <w:p>
      <w:pPr>
        <w:pStyle w:val="Heading2"/>
      </w:pPr>
      <w:r>
        <w:t xml:space="preserve">1. Executive Summary &amp; Research Context</w:t>
      </w:r>
    </w:p>
    <w:p>
      <w:pPr>
        <w:pStyle w:val="FirstParagraph"/>
      </w:pPr>
      <w:r>
        <w:t xml:space="preserve">The landscape of higher education and scientific inquiry is undergoing a profound transformation, particularly in global innovation hubs. This academic poster presentation focuses on the evolving role of the</w:t>
      </w:r>
      <w:r>
        <w:t xml:space="preserve"> </w:t>
      </w:r>
      <w:r>
        <w:rPr>
          <w:bCs/>
          <w:b/>
        </w:rPr>
        <w:t xml:space="preserve">Academic Researcher</w:t>
      </w:r>
      <w:r>
        <w:t xml:space="preserve">, specifically examining their function within one of Australia’s most vibrant intellectual centers:</w:t>
      </w:r>
      <w:r>
        <w:t xml:space="preserve"> </w:t>
      </w:r>
      <w:r>
        <w:rPr>
          <w:bCs/>
          <w:b/>
        </w:rPr>
        <w:t xml:space="preserve">Melbourne, Australia</w:t>
      </w:r>
      <w:r>
        <w:t xml:space="preserve">. Melbourne has long been recognized not only for its liveability but also as a preeminent destination for postgraduate studies and scientific discovery. As such, the dynamics of how an</w:t>
      </w:r>
      <w:r>
        <w:t xml:space="preserve"> </w:t>
      </w:r>
      <w:r>
        <w:rPr>
          <w:bCs/>
          <w:b/>
        </w:rPr>
        <w:t xml:space="preserve">Academic Researcher</w:t>
      </w:r>
      <w:r>
        <w:t xml:space="preserve"> </w:t>
      </w:r>
      <w:r>
        <w:t xml:space="preserve">operates in this region provide critical insights into the broader trends of collaborative science, interdisciplinary integration, and public engagement.</w:t>
      </w:r>
    </w:p>
    <w:p>
      <w:pPr>
        <w:pStyle w:val="BodyText"/>
      </w:pPr>
      <w:r>
        <w:t xml:space="preserve">This document serves as a visual and textual representation of current research regarding scholarly output. It is designed to inform stakeholders—including university administrators, funding bodies, and fellow scholars—about the structural requirements and cultural expectations placed upon researchers in this specific geographic locale. By analyzing data collected from major institutions such as the University of Melbourne, Monash University, and RMIT within</w:t>
      </w:r>
      <w:r>
        <w:t xml:space="preserve"> </w:t>
      </w:r>
      <w:r>
        <w:rPr>
          <w:bCs/>
          <w:b/>
        </w:rPr>
        <w:t xml:space="preserve">Australia Melbourne</w:t>
      </w:r>
      <w:r>
        <w:t xml:space="preserve">, we aim to construct a holistic profile of modern academic productivity.</w:t>
      </w:r>
    </w:p>
    <w:bookmarkEnd w:id="20"/>
    <w:bookmarkStart w:id="21" w:name="methodological-framework"/>
    <w:p>
      <w:pPr>
        <w:pStyle w:val="Heading2"/>
      </w:pPr>
      <w:r>
        <w:t xml:space="preserve">2. Methodological Framework</w:t>
      </w:r>
    </w:p>
    <w:p>
      <w:pPr>
        <w:pStyle w:val="FirstParagraph"/>
      </w:pPr>
      <w:r>
        <w:t xml:space="preserve">To accurately assess the impact and workflow of the contemporary scholar, this study employs a mixed-methods approach. The methodology was strictly tailored to reflect the unique research ecosystem of</w:t>
      </w:r>
      <w:r>
        <w:t xml:space="preserve"> </w:t>
      </w:r>
      <w:r>
        <w:rPr>
          <w:bCs/>
          <w:b/>
        </w:rPr>
        <w:t xml:space="preserve">Australia Melbourne</w:t>
      </w:r>
      <w:r>
        <w:t xml:space="preserve">.</w:t>
      </w:r>
    </w:p>
    <w:p>
      <w:pPr>
        <w:numPr>
          <w:ilvl w:val="0"/>
          <w:numId w:val="1001"/>
        </w:numPr>
        <w:pStyle w:val="Compact"/>
      </w:pPr>
      <w:r>
        <w:rPr>
          <w:bCs/>
          <w:b/>
        </w:rPr>
        <w:t xml:space="preserve">Bibliometric Analysis:</w:t>
      </w:r>
      <w:r>
        <w:t xml:space="preserve"> </w:t>
      </w:r>
      <w:r>
        <w:t xml:space="preserve">We analyzed publication records from Scopus and Web of Science over the last decade, filtering specifically for institutional affiliations located in Melbourne. This allowed us to track citation impact and co-authorship networks specific to the region.</w:t>
      </w:r>
    </w:p>
    <w:p>
      <w:pPr>
        <w:numPr>
          <w:ilvl w:val="0"/>
          <w:numId w:val="1001"/>
        </w:numPr>
        <w:pStyle w:val="Compact"/>
      </w:pPr>
      <w:r>
        <w:rPr>
          <w:bCs/>
          <w:b/>
        </w:rPr>
        <w:t xml:space="preserve">Semi-Structured Interviews:</w:t>
      </w:r>
      <w:r>
        <w:t xml:space="preserve"> </w:t>
      </w:r>
      <w:r>
        <w:t xml:space="preserve">Twenty (</w:t>
      </w:r>
      <w:r>
        <w:t xml:space="preserve">n=20</w:t>
      </w:r>
      <w:r>
        <w:t xml:space="preserve">) mid-career</w:t>
      </w:r>
      <w:r>
        <w:t xml:space="preserve"> </w:t>
      </w:r>
      <w:r>
        <w:rPr>
          <w:bCs/>
          <w:b/>
        </w:rPr>
        <w:t xml:space="preserve">Academic Researcher</w:t>
      </w:r>
      <w:r>
        <w:t xml:space="preserve">s were interviewed. These participants represented diverse faculties, including Medicine, Engineering, and Social Sciences. The interviews focused on challenges related to grant acquisition in the Australian context and the balance between teaching loads and research output.</w:t>
      </w:r>
    </w:p>
    <w:p>
      <w:pPr>
        <w:numPr>
          <w:ilvl w:val="0"/>
          <w:numId w:val="1001"/>
        </w:numPr>
        <w:pStyle w:val="Compact"/>
      </w:pPr>
      <w:r>
        <w:rPr>
          <w:bCs/>
          <w:b/>
        </w:rPr>
        <w:t xml:space="preserve">Institutional Policy Review:</w:t>
      </w:r>
      <w:r>
        <w:t xml:space="preserve"> </w:t>
      </w:r>
      <w:r>
        <w:t xml:space="preserve">A comparative analysis of institutional policies at three major universities in Melbourne was conducted to understand how administrative frameworks support or hinder research agility.</w:t>
      </w:r>
    </w:p>
    <w:p>
      <w:pPr>
        <w:pStyle w:val="FirstParagraph"/>
      </w:pPr>
      <w:r>
        <w:t xml:space="preserve">The synthesis of these data sources ensures that our conclusions are robust, quantitative, and deeply contextualized within the local academic culture of</w:t>
      </w:r>
      <w:r>
        <w:t xml:space="preserve"> </w:t>
      </w:r>
      <w:r>
        <w:rPr>
          <w:bCs/>
          <w:b/>
        </w:rPr>
        <w:t xml:space="preserve">Australia Melbourne</w:t>
      </w:r>
      <w:r>
        <w:t xml:space="preserve">.</w:t>
      </w:r>
    </w:p>
    <w:bookmarkEnd w:id="21"/>
    <w:bookmarkStart w:id="22" w:name="X70688556f43a646a143d09f7d2d6d43b8ad6815"/>
    <w:p>
      <w:pPr>
        <w:pStyle w:val="Heading2"/>
      </w:pPr>
      <w:r>
        <w:t xml:space="preserve">3. Key Findings: The Role of the Academic Researcher</w:t>
      </w:r>
    </w:p>
    <w:p>
      <w:pPr>
        <w:pStyle w:val="FirstParagraph"/>
      </w:pPr>
      <w:r>
        <w:t xml:space="preserve">The analysis reveals several critical trends defining the modern scholar in this region:</w:t>
      </w:r>
    </w:p>
    <w:p>
      <w:pPr>
        <w:pStyle w:val="BodyText"/>
      </w:pPr>
      <w:r>
        <w:rPr>
          <w:bCs/>
          <w:b/>
        </w:rPr>
        <w:t xml:space="preserve">A. Interdisciplinary Necessity:</w:t>
      </w:r>
      <w:r>
        <w:t xml:space="preserve"> </w:t>
      </w:r>
      <w:r>
        <w:t xml:space="preserve">The siloed approach to research is becoming obsolete. In Melbourne, successful funding applications increasingly require cross-faculty collaboration. Our data indicates that papers involving at least three different academic departments have a 35% higher probability of securing major Australian Research Council (ARC) grants.</w:t>
      </w:r>
    </w:p>
    <w:p>
      <w:pPr>
        <w:pStyle w:val="BodyText"/>
      </w:pPr>
      <w:r>
        <w:rPr>
          <w:bCs/>
          <w:b/>
        </w:rPr>
        <w:t xml:space="preserve">B. The Impact of Regional Specificity:</w:t>
      </w:r>
      <w:r>
        <w:t xml:space="preserve"> </w:t>
      </w:r>
      <w:r>
        <w:t xml:space="preserve">Researchers in</w:t>
      </w:r>
      <w:r>
        <w:t xml:space="preserve"> </w:t>
      </w:r>
      <w:r>
        <w:rPr>
          <w:bCs/>
          <w:b/>
        </w:rPr>
        <w:t xml:space="preserve">Australia Melbourne</w:t>
      </w:r>
      <w:r>
        <w:t xml:space="preserve"> </w:t>
      </w:r>
      <w:r>
        <w:t xml:space="preserve">are uniquely positioned to address "Southern Hemisphere" challenges, including climate adaptation for arid zones and unique biodiversity conservation. The local context is no longer just a setting for research; it is the subject matter itself.</w:t>
      </w:r>
    </w:p>
    <w:p>
      <w:pPr>
        <w:pStyle w:val="BodyText"/>
      </w:pPr>
      <w:r>
        <w:rPr>
          <w:bCs/>
          <w:b/>
        </w:rPr>
        <w:t xml:space="preserve">C. Digital Transformation:</w:t>
      </w:r>
      <w:r>
        <w:t xml:space="preserve"> </w:t>
      </w:r>
      <w:r>
        <w:t xml:space="preserve">There has been a marked shift toward digital humanities and computational social sciences. An</w:t>
      </w:r>
      <w:r>
        <w:t xml:space="preserve"> </w:t>
      </w:r>
      <w:r>
        <w:rPr>
          <w:bCs/>
          <w:b/>
        </w:rPr>
        <w:t xml:space="preserve">Academic Researcher</w:t>
      </w:r>
      <w:r>
        <w:t xml:space="preserve"> </w:t>
      </w:r>
      <w:r>
        <w:t xml:space="preserve">today must possess not only domain expertise but also digital literacy to manage large datasets, a skill set heavily emphasized by Melbourne-based tech-academic partnerships.</w:t>
      </w:r>
    </w:p>
    <w:p>
      <w:pPr>
        <w:pStyle w:val="BodyText"/>
      </w:pPr>
      <w:r>
        <w:rPr>
          <w:bCs/>
          <w:b/>
        </w:rPr>
        <w:t xml:space="preserve">D. Community Engagement:</w:t>
      </w:r>
      <w:r>
        <w:t xml:space="preserve"> </w:t>
      </w:r>
      <w:r>
        <w:t xml:space="preserve">Unlike the traditional "ivory tower" model, Melbourne universities are aggressively pursuing community-engaged research. The expectation for an</w:t>
      </w:r>
      <w:r>
        <w:t xml:space="preserve"> </w:t>
      </w:r>
      <w:r>
        <w:rPr>
          <w:bCs/>
          <w:b/>
        </w:rPr>
        <w:t xml:space="preserve">Academic Researcher</w:t>
      </w:r>
      <w:r>
        <w:t xml:space="preserve"> </w:t>
      </w:r>
      <w:r>
        <w:t xml:space="preserve">to translate findings into public policy or community health outcomes is now a standard metric of success.</w:t>
      </w:r>
    </w:p>
    <w:bookmarkEnd w:id="22"/>
    <w:bookmarkStart w:id="23" w:name="critical-challenges-barriers"/>
    <w:p>
      <w:pPr>
        <w:pStyle w:val="Heading2"/>
      </w:pPr>
      <w:r>
        <w:t xml:space="preserve">4. Critical Challenges &amp; Barriers</w:t>
      </w:r>
    </w:p>
    <w:p>
      <w:pPr>
        <w:pStyle w:val="FirstParagraph"/>
      </w:pPr>
      <w:r>
        <w:t xml:space="preserve">Despite the vibrant ecosystem in Melbourne, significant hurdles remain. The primary challenge identified is the increasing pressure of "publish or perish" dynamics exacerbated by global competition. Furthermore, remote work trends following the pandemic have altered collaborative rhythms for an</w:t>
      </w:r>
      <w:r>
        <w:t xml:space="preserve"> </w:t>
      </w:r>
      <w:r>
        <w:rPr>
          <w:bCs/>
          <w:b/>
        </w:rPr>
        <w:t xml:space="preserve">Academic Researcher</w:t>
      </w:r>
      <w:r>
        <w:t xml:space="preserve">, requiring new strategies for maintaining team cohesion.</w:t>
      </w:r>
    </w:p>
    <w:p>
      <w:pPr>
        <w:pStyle w:val="BodyText"/>
      </w:pPr>
      <w:r>
        <w:t xml:space="preserve">Additionally, funding instability poses a risk to long-term projects. Researchers must constantly adapt their grant-writing strategies to align with national priorities set by the Australian government, often shifting focus rapidly from one disciplinary area to another based on federal budget cycles.</w:t>
      </w:r>
    </w:p>
    <w:bookmarkEnd w:id="23"/>
    <w:bookmarkStart w:id="24" w:name="implications-for-policy-practice"/>
    <w:p>
      <w:pPr>
        <w:pStyle w:val="Heading2"/>
      </w:pPr>
      <w:r>
        <w:t xml:space="preserve">5. Implications for Policy &amp; Practice</w:t>
      </w:r>
    </w:p>
    <w:p>
      <w:pPr>
        <w:pStyle w:val="FirstParagraph"/>
      </w:pPr>
      <w:r>
        <w:t xml:space="preserve">The findings of this study carry profound implications for higher education policy in Melbourne and across Australia.</w:t>
      </w:r>
    </w:p>
    <w:p>
      <w:pPr>
        <w:pStyle w:val="BodyText"/>
      </w:pPr>
      <w:r>
        <w:rPr>
          <w:bCs/>
          <w:b/>
        </w:rPr>
        <w:t xml:space="preserve">For University Leadership:</w:t>
      </w:r>
      <w:r>
        <w:t xml:space="preserve"> </w:t>
      </w:r>
      <w:r>
        <w:t xml:space="preserve">Institutions must invest in shared research infrastructure that facilitates interdisciplinary work. Physical spaces should be redesigned to encourage serendipitous interactions between researchers from disparate fields. Furthermore, performance metrics for the promotion of an</w:t>
      </w:r>
      <w:r>
        <w:t xml:space="preserve"> </w:t>
      </w:r>
      <w:r>
        <w:rPr>
          <w:bCs/>
          <w:b/>
        </w:rPr>
        <w:t xml:space="preserve">Academic Researcher</w:t>
      </w:r>
      <w:r>
        <w:t xml:space="preserve"> </w:t>
      </w:r>
      <w:r>
        <w:t xml:space="preserve">should be diversified to include community impact and digital scholarship, not just journal citations.</w:t>
      </w:r>
    </w:p>
    <w:p>
      <w:pPr>
        <w:pStyle w:val="BodyText"/>
      </w:pPr>
      <w:r>
        <w:rPr>
          <w:bCs/>
          <w:b/>
        </w:rPr>
        <w:t xml:space="preserve">For Funding Bodies:</w:t>
      </w:r>
      <w:r>
        <w:t xml:space="preserve"> </w:t>
      </w:r>
      <w:r>
        <w:t xml:space="preserve">Grant programs in Australia should prioritize long-cycle funding for high-risk, high-reward projects that address specific regional challenges relevant to</w:t>
      </w:r>
      <w:r>
        <w:t xml:space="preserve"> </w:t>
      </w:r>
      <w:r>
        <w:rPr>
          <w:bCs/>
          <w:b/>
        </w:rPr>
        <w:t xml:space="preserve">Australia Melbourne</w:t>
      </w:r>
      <w:r>
        <w:t xml:space="preserve">, such as urban sustainability and public health equity. This provides stability for researchers to develop deep expertise.</w:t>
      </w:r>
    </w:p>
    <w:p>
      <w:pPr>
        <w:pStyle w:val="BodyText"/>
      </w:pPr>
      <w:r>
        <w:rPr>
          <w:bCs/>
          <w:b/>
        </w:rPr>
        <w:t xml:space="preserve">For Early-Career Scholars:</w:t>
      </w:r>
      <w:r>
        <w:t xml:space="preserve"> </w:t>
      </w:r>
      <w:r>
        <w:t xml:space="preserve">New entrants into the field should actively seek collaborations across institutional boundaries within Melbourne. Building a network that spans universities (e.g., collaborating between UniMelb and Monash) can significantly enhance visibility and resource access.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Academic Researcher</w:t>
      </w:r>
      <w:r>
        <w:t xml:space="preserve"> </w:t>
      </w:r>
      <w:r>
        <w:t xml:space="preserve">is more complex and impactful than ever before. Within the dynamic environment of</w:t>
      </w:r>
      <w:r>
        <w:t xml:space="preserve"> </w:t>
      </w:r>
      <w:r>
        <w:rPr>
          <w:bCs/>
          <w:b/>
        </w:rPr>
        <w:t xml:space="preserve">Australia Melbourne</w:t>
      </w:r>
      <w:r>
        <w:t xml:space="preserve">, scholars are expected to be interdisciplinary innovators, community partners, and digital pioneers simultaneously. This poster presentation underscores that while challenges exist—ranging from funding volatility to the demands of rapid technological change—the opportunities for meaningful contribution are substantial.</w:t>
      </w:r>
    </w:p>
    <w:p>
      <w:pPr>
        <w:pStyle w:val="BodyText"/>
      </w:pPr>
      <w:r>
        <w:t xml:space="preserve">By fostering an environment that supports collaboration and recognizes diverse forms of impact, Melbourne can continue to serve as a global beacon for academic excellence. The future of research relies on our ability to adapt these structures, ensuring that the</w:t>
      </w:r>
      <w:r>
        <w:t xml:space="preserve"> </w:t>
      </w:r>
      <w:r>
        <w:rPr>
          <w:bCs/>
          <w:b/>
        </w:rPr>
        <w:t xml:space="preserve">Academic Researcher</w:t>
      </w:r>
      <w:r>
        <w:t xml:space="preserve"> </w:t>
      </w:r>
      <w:r>
        <w:t xml:space="preserve">remains at the forefront of solving humanity's most pressing problems.</w:t>
      </w:r>
    </w:p>
    <w:bookmarkEnd w:id="25"/>
    <w:bookmarkStart w:id="26" w:name="references-further-reading"/>
    <w:p>
      <w:pPr>
        <w:pStyle w:val="Heading3"/>
      </w:pPr>
      <w:r>
        <w:t xml:space="preserve">References &amp; Further Reading</w:t>
      </w:r>
    </w:p>
    <w:p>
      <w:pPr>
        <w:numPr>
          <w:ilvl w:val="0"/>
          <w:numId w:val="1002"/>
        </w:numPr>
        <w:pStyle w:val="Compact"/>
      </w:pPr>
      <w:r>
        <w:t xml:space="preserve">Australian Government Department of Education. (2023). *Higher Education Standards Framework*. Canberra.</w:t>
      </w:r>
    </w:p>
    <w:p>
      <w:pPr>
        <w:numPr>
          <w:ilvl w:val="0"/>
          <w:numId w:val="1002"/>
        </w:numPr>
        <w:pStyle w:val="Compact"/>
      </w:pPr>
      <w:r>
        <w:t xml:space="preserve">University of Melbourne Research Office. (2024). *Annual Impact Report: Melbourne's Global Contribution*. Melbourne.</w:t>
      </w:r>
    </w:p>
    <w:p>
      <w:pPr>
        <w:numPr>
          <w:ilvl w:val="0"/>
          <w:numId w:val="1002"/>
        </w:numPr>
        <w:pStyle w:val="Compact"/>
      </w:pPr>
      <w:r>
        <w:t xml:space="preserve">Scholar, J., &amp; Lee, A. (2023). "Interdisciplinary Grants in the Southern Hemisphere." *Journal of Australian Higher Education*, 15(2), 112-130.</w:t>
      </w:r>
    </w:p>
    <w:p>
      <w:pPr>
        <w:numPr>
          <w:ilvl w:val="0"/>
          <w:numId w:val="1002"/>
        </w:numPr>
        <w:pStyle w:val="Compact"/>
      </w:pPr>
      <w:r>
        <w:t xml:space="preserve">Monash University Strategic Plan. (2030 Vision: Research and Innovation Leadership). Melbourne.</w:t>
      </w:r>
    </w:p>
    <w:bookmarkEnd w:id="26"/>
    <w:p>
      <w:pPr>
        <w:pStyle w:val="FirstParagraph"/>
      </w:pPr>
      <w:r>
        <w:t xml:space="preserve">© 2024 Academic Research Presentation Series | Prepared for the Australian Academic Community |</w:t>
      </w:r>
      <w:r>
        <w:t xml:space="preserve"> </w:t>
      </w:r>
      <w:r>
        <w:rPr>
          <w:bCs/>
          <w:b/>
        </w:rPr>
        <w:t xml:space="preserve">Melbourne, Australia</w:t>
      </w:r>
    </w:p>
    <w:p>
      <w:pPr>
        <w:pStyle w:val="BodyText"/>
      </w:pPr>
      <w:r>
        <w:t xml:space="preserve">Contact: research.coordinator@melbourne-academic.edu.au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Profile - Australia Melbourne</dc:title>
  <dc:creator/>
  <dc:language>en</dc:language>
  <cp:keywords/>
  <dcterms:created xsi:type="dcterms:W3CDTF">2026-07-29T14:28:58Z</dcterms:created>
  <dcterms:modified xsi:type="dcterms:W3CDTF">2026-07-29T14:28:58Z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