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Lyon</w:t>
      </w:r>
      <w:r>
        <w:t xml:space="preserve"> </w:t>
      </w:r>
      <w:r>
        <w:t xml:space="preserve">Symposium</w:t>
      </w:r>
    </w:p>
    <w:bookmarkStart w:id="20" w:name="Xf39cf4748963198c142b97c2e88a49d0d332f06"/>
    <w:p>
      <w:pPr>
        <w:pStyle w:val="Heading1"/>
      </w:pPr>
      <w:r>
        <w:t xml:space="preserve">Bridging Theory and Practice in Modern Academia</w:t>
      </w:r>
    </w:p>
    <w:p>
      <w:pPr>
        <w:pStyle w:val="FirstParagraph"/>
      </w:pPr>
      <w:r>
        <w:t xml:space="preserve">A Comprehensive Guide for the Academic Researcher at the France Lyon International Symposium</w:t>
      </w:r>
    </w:p>
    <w:p>
      <w:pPr>
        <w:pStyle w:val="BodyText"/>
      </w:pPr>
      <w:r>
        <w:rPr>
          <w:bCs/>
          <w:b/>
        </w:rPr>
        <w:t xml:space="preserve">Prepared For:</w:t>
      </w:r>
      <w:r>
        <w:t xml:space="preserve"> </w:t>
      </w:r>
      <w:r>
        <w:t xml:space="preserve">The Department of Scientific Communication &amp; Higher Education</w:t>
      </w:r>
      <w:r>
        <w:br/>
      </w:r>
      <w:r>
        <w:rPr>
          <w:bCs/>
          <w:b/>
        </w:rPr>
        <w:t xml:space="preserve">Institution:</w:t>
      </w:r>
      <w:r>
        <w:t xml:space="preserve"> </w:t>
      </w:r>
      <w:r>
        <w:t xml:space="preserve">Université de Lyon / CNRS Collaborative Initiative</w:t>
      </w:r>
      <w:r>
        <w:br/>
      </w:r>
      <w:r>
        <w:rPr>
          <w:bCs/>
          <w:b/>
        </w:rPr>
        <w:t xml:space="preserve">Date:</w:t>
      </w:r>
      <w:r>
        <w:t xml:space="preserve"> </w:t>
      </w:r>
      <w:r>
        <w:t xml:space="preserve">October 2023</w:t>
      </w:r>
    </w:p>
    <w:p>
      <w:pPr>
        <w:pStyle w:val="BodyText"/>
      </w:pPr>
      <w:r>
        <w:br/>
      </w:r>
    </w:p>
    <w:p>
      <w:pPr>
        <w:pStyle w:val="BodyText"/>
      </w:pPr>
      <w:r>
        <w:t xml:space="preserve">Dr. A. Researcher, Prof. B. Scholar, and The Lyon Academic Consortium Team</w:t>
      </w:r>
    </w:p>
    <w:bookmarkEnd w:id="20"/>
    <w:bookmarkStart w:id="21" w:name="X59e26a39eedd1b6e446f12b7c7dbc98f2e2d4fe"/>
    <w:p>
      <w:pPr>
        <w:pStyle w:val="Heading2"/>
      </w:pPr>
      <w:r>
        <w:t xml:space="preserve">1. Introduction: The Context of the France Lyon Symposium</w:t>
      </w:r>
    </w:p>
    <w:p>
      <w:pPr>
        <w:pStyle w:val="FirstParagraph"/>
      </w:pPr>
      <w:r>
        <w:t xml:space="preserve">The landscape of higher education is undergoing a profound transformation, requiring scholars to not only produce knowledge but to communicate it effectively to diverse audiences. This document serves as a critical framework for the</w:t>
      </w:r>
      <w:r>
        <w:t xml:space="preserve"> </w:t>
      </w:r>
      <w:r>
        <w:rPr>
          <w:bCs/>
          <w:b/>
        </w:rPr>
        <w:t xml:space="preserve">Academic Researcher</w:t>
      </w:r>
      <w:r>
        <w:t xml:space="preserve">, specifically tailored for engagement within the vibrant academic ecosystem of</w:t>
      </w:r>
      <w:r>
        <w:t xml:space="preserve"> </w:t>
      </w:r>
      <w:r>
        <w:rPr>
          <w:bCs/>
          <w:b/>
        </w:rPr>
        <w:t xml:space="preserve">France Lyon</w:t>
      </w:r>
      <w:r>
        <w:t xml:space="preserve">. The city of Lyon has long been recognized as a historical hub of trade, gastronomy, and now, intellectual exchange. By situating our discourse within this specific geographic and cultural context—</w:t>
      </w:r>
      <w:r>
        <w:rPr>
          <w:bCs/>
          <w:b/>
        </w:rPr>
        <w:t xml:space="preserve">France Lyon</w:t>
      </w:r>
      <w:r>
        <w:t xml:space="preserve">—we acknowledge the unique pressures and opportunities that define contemporary scholarly work.</w:t>
      </w:r>
    </w:p>
    <w:p>
      <w:pPr>
        <w:pStyle w:val="BodyText"/>
      </w:pPr>
      <w:r>
        <w:t xml:space="preserve">The purpose of this presentation is to outline best practices for creating impactful visual communications. It is imperative that every</w:t>
      </w:r>
      <w:r>
        <w:t xml:space="preserve"> </w:t>
      </w:r>
      <w:r>
        <w:rPr>
          <w:bCs/>
          <w:b/>
        </w:rPr>
        <w:t xml:space="preserve">Academic Researcher</w:t>
      </w:r>
      <w:r>
        <w:t xml:space="preserve"> </w:t>
      </w:r>
      <w:r>
        <w:t xml:space="preserve">understands that data visibility is as crucial as data integrity. In the bustling conference halls of Lyon, where international delegates converge, the ability to distill complex methodologies into accessible narratives distinguishes leading scholars from those who remain obscure.</w:t>
      </w:r>
    </w:p>
    <w:bookmarkEnd w:id="21"/>
    <w:bookmarkStart w:id="22" w:name="defining-the-modern-academic-researcher"/>
    <w:p>
      <w:pPr>
        <w:pStyle w:val="Heading2"/>
      </w:pPr>
      <w:r>
        <w:t xml:space="preserve">2. Defining the Modern Academic Researcher</w:t>
      </w:r>
    </w:p>
    <w:p>
      <w:pPr>
        <w:pStyle w:val="FirstParagraph"/>
      </w:pPr>
      <w:r>
        <w:t xml:space="preserve">To succeed in this environment, one must redefine the role of the</w:t>
      </w:r>
      <w:r>
        <w:t xml:space="preserve"> </w:t>
      </w:r>
      <w:r>
        <w:rPr>
          <w:bCs/>
          <w:b/>
        </w:rPr>
        <w:t xml:space="preserve">Academic Researcher</w:t>
      </w:r>
      <w:r>
        <w:t xml:space="preserve">. Traditionally viewed as isolated figures working within laboratory walls or library archives, today’s scholar is a public intellectual and a visual storyteller. The</w:t>
      </w:r>
      <w:r>
        <w:t xml:space="preserve"> </w:t>
      </w:r>
      <w:r>
        <w:rPr>
          <w:bCs/>
          <w:b/>
        </w:rPr>
        <w:t xml:space="preserve">Academic Researcher</w:t>
      </w:r>
      <w:r>
        <w:t xml:space="preserve"> </w:t>
      </w:r>
      <w:r>
        <w:t xml:space="preserve">must possess a dual competency: deep subject matter expertise combined with sophisticated design literacy.</w:t>
      </w:r>
    </w:p>
    <w:p>
      <w:pPr>
        <w:pStyle w:val="BodyText"/>
      </w:pPr>
      <w:r>
        <w:t xml:space="preserve">In the context of</w:t>
      </w:r>
      <w:r>
        <w:t xml:space="preserve"> </w:t>
      </w:r>
      <w:r>
        <w:rPr>
          <w:bCs/>
          <w:b/>
        </w:rPr>
        <w:t xml:space="preserve">France Lyon</w:t>
      </w:r>
      <w:r>
        <w:t xml:space="preserve">, where interdisciplinary collaboration is encouraged by local institutions such as the Université Jean Moulin Lyon 3 and the École Normale Supérieure de Lyon, cross-pollination of ideas is essential. The</w:t>
      </w:r>
      <w:r>
        <w:t xml:space="preserve"> </w:t>
      </w:r>
      <w:r>
        <w:rPr>
          <w:bCs/>
          <w:b/>
        </w:rPr>
        <w:t xml:space="preserve">Academic Researcher</w:t>
      </w:r>
      <w:r>
        <w:t xml:space="preserve"> </w:t>
      </w:r>
      <w:r>
        <w:t xml:space="preserve">acts as the bridge between specialized disciplines. Whether presenting findings in sociology, physics, or literature, the core mission remains consistent: to illuminate truth through rigorous inquiry and clear presentation.</w:t>
      </w:r>
    </w:p>
    <w:p>
      <w:pPr>
        <w:numPr>
          <w:ilvl w:val="0"/>
          <w:numId w:val="1001"/>
        </w:numPr>
        <w:pStyle w:val="Compact"/>
      </w:pPr>
      <w:r>
        <w:rPr>
          <w:bCs/>
          <w:b/>
        </w:rPr>
        <w:t xml:space="preserve">Critical Thinking:</w:t>
      </w:r>
      <w:r>
        <w:t xml:space="preserve"> </w:t>
      </w:r>
      <w:r>
        <w:t xml:space="preserve">The ability to analyze information objectively is paramount.</w:t>
      </w:r>
    </w:p>
    <w:p>
      <w:pPr>
        <w:numPr>
          <w:ilvl w:val="0"/>
          <w:numId w:val="1001"/>
        </w:numPr>
        <w:pStyle w:val="Compact"/>
      </w:pPr>
      <w:r>
        <w:rPr>
          <w:bCs/>
          <w:b/>
        </w:rPr>
        <w:t xml:space="preserve">Digital Fluency:</w:t>
      </w:r>
      <w:r>
        <w:t xml:space="preserve"> </w:t>
      </w:r>
      <w:r>
        <w:t xml:space="preserve">Proficiency in tools that aid in data visualization is no longer optional but required.</w:t>
      </w:r>
    </w:p>
    <w:p>
      <w:pPr>
        <w:numPr>
          <w:ilvl w:val="0"/>
          <w:numId w:val="1001"/>
        </w:numPr>
        <w:pStyle w:val="Compact"/>
      </w:pPr>
      <w:r>
        <w:rPr>
          <w:bCs/>
          <w:b/>
        </w:rPr>
        <w:t xml:space="preserve">Cultural Sensitivity:</w:t>
      </w:r>
      <w:r>
        <w:t xml:space="preserve"> </w:t>
      </w:r>
      <w:r>
        <w:t xml:space="preserve">Operating within the</w:t>
      </w:r>
      <w:r>
        <w:t xml:space="preserve"> </w:t>
      </w:r>
      <w:r>
        <w:rPr>
          <w:bCs/>
          <w:b/>
        </w:rPr>
        <w:t xml:space="preserve">France Lyon</w:t>
      </w:r>
      <w:r>
        <w:t xml:space="preserve"> </w:t>
      </w:r>
      <w:r>
        <w:t xml:space="preserve">academic community requires an appreciation for European scientific standards and local linguistic nuances.</w:t>
      </w:r>
    </w:p>
    <w:bookmarkEnd w:id="22"/>
    <w:bookmarkStart w:id="29" w:name="Xdb97b789c558038bdb4cb62b897ccd3d31bd7b9"/>
    <w:p>
      <w:pPr>
        <w:pStyle w:val="Heading2"/>
      </w:pPr>
      <w:r>
        <w:t xml:space="preserve">3. Strategic Design of the Poster Presentation</w:t>
      </w:r>
    </w:p>
    <w:p>
      <w:pPr>
        <w:pStyle w:val="FirstParagraph"/>
      </w:pPr>
      <w:r>
        <w:br/>
      </w:r>
    </w:p>
    <w:bookmarkStart w:id="23" w:name="visual-hierarchy-and-layout"/>
    <w:p>
      <w:pPr>
        <w:pStyle w:val="Heading3"/>
      </w:pPr>
      <w:r>
        <w:t xml:space="preserve">3.1 Visual Hierarchy and Layout</w:t>
      </w:r>
    </w:p>
    <w:p>
      <w:pPr>
        <w:pStyle w:val="FirstParagraph"/>
      </w:pPr>
      <w:r>
        <w:t xml:space="preserve">The physical poster serves as the silent ambassador of the researcher’s work. A poorly designed poster can obscure even the most groundbreaking discoveries made by an</w:t>
      </w:r>
      <w:r>
        <w:t xml:space="preserve"> </w:t>
      </w:r>
      <w:r>
        <w:rPr>
          <w:bCs/>
          <w:b/>
        </w:rPr>
        <w:t xml:space="preserve">Academic Researcher</w:t>
      </w:r>
      <w:r>
        <w:t xml:space="preserve">. In</w:t>
      </w:r>
      <w:r>
        <w:t xml:space="preserve"> </w:t>
      </w:r>
      <w:r>
        <w:rPr>
          <w:bCs/>
          <w:b/>
        </w:rPr>
        <w:t xml:space="preserve">France Lyon</w:t>
      </w:r>
      <w:r>
        <w:t xml:space="preserve">, where aesthetic appreciation is high, visual appeal must not be sacrificed for content density. We advocate for a "Z-pattern" layout, guiding the viewer’s eye naturally from the title down to the conclusions.</w:t>
      </w:r>
    </w:p>
    <w:p>
      <w:pPr>
        <w:pStyle w:val="BodyText"/>
      </w:pPr>
      <w:r>
        <w:t xml:space="preserve">The title must be bold and concise. The name of the</w:t>
      </w:r>
      <w:r>
        <w:t xml:space="preserve"> </w:t>
      </w:r>
      <w:r>
        <w:rPr>
          <w:bCs/>
          <w:b/>
        </w:rPr>
        <w:t xml:space="preserve">Academic Researcher</w:t>
      </w:r>
      <w:r>
        <w:t xml:space="preserve"> </w:t>
      </w:r>
      <w:r>
        <w:t xml:space="preserve">should be prominent, establishing authority immediately. Backgrounds should be clean and uncluttered; in academic settings, white space is a luxury that enhances readability rather than detracts from it.</w:t>
      </w:r>
    </w:p>
    <w:bookmarkEnd w:id="23"/>
    <w:bookmarkStart w:id="24" w:name="data-visualization-excellence"/>
    <w:p>
      <w:pPr>
        <w:pStyle w:val="Heading3"/>
      </w:pPr>
      <w:r>
        <w:t xml:space="preserve">3.2 Data Visualization Excellence</w:t>
      </w:r>
    </w:p>
    <w:p>
      <w:pPr>
        <w:pStyle w:val="FirstParagraph"/>
      </w:pPr>
      <w:r>
        <w:br/>
      </w:r>
      <w:r>
        <w:t xml:space="preserve">Raw data tables are the enemy of engagement. The modern</w:t>
      </w:r>
      <w:r>
        <w:t xml:space="preserve"> </w:t>
      </w:r>
      <w:r>
        <w:rPr>
          <w:bCs/>
          <w:b/>
        </w:rPr>
        <w:t xml:space="preserve">Academic Researcher</w:t>
      </w:r>
      <w:r>
        <w:t xml:space="preserve"> </w:t>
      </w:r>
      <w:r>
        <w:t xml:space="preserve">must employ infographics, heat maps, and flowcharts to represent statistical significance. When presenting in</w:t>
      </w:r>
      <w:r>
        <w:t xml:space="preserve"> </w:t>
      </w:r>
      <w:r>
        <w:rPr>
          <w:bCs/>
          <w:b/>
        </w:rPr>
        <w:t xml:space="preserve">France Lyon</w:t>
      </w:r>
      <w:r>
        <w:t xml:space="preserve">, consider that the audience may include non-native English speakers or those from varied academic backgrounds. Visuals transcend language barriers, ensuring that your core message is understood universally.</w:t>
      </w:r>
    </w:p>
    <w:bookmarkEnd w:id="24"/>
    <w:p>
      <w:pPr>
        <w:pStyle w:val="BodyText"/>
      </w:pPr>
      <w:r>
        <w:br/>
      </w:r>
    </w:p>
    <w:bookmarkStart w:id="25" w:name="the-narrative-arc-of-the-presentation"/>
    <w:p>
      <w:pPr>
        <w:pStyle w:val="Heading3"/>
      </w:pPr>
      <w:r>
        <w:t xml:space="preserve">4. The Narrative Arc of the Presentation</w:t>
      </w:r>
    </w:p>
    <w:p>
      <w:pPr>
        <w:pStyle w:val="FirstParagraph"/>
      </w:pPr>
      <w:r>
        <w:br/>
      </w:r>
      <w:r>
        <w:t xml:space="preserve">A poster is not merely a document to be read; it is an invitation to converse. The narrative arc should follow the classic scientific method but translated into an engaging story: Problem, Methodology, Results, and Implication.</w:t>
      </w:r>
    </w:p>
    <w:p>
      <w:pPr>
        <w:pStyle w:val="BodyText"/>
      </w:pPr>
      <w:r>
        <w:t xml:space="preserve">The introduction must hook the viewer within ten seconds. For an</w:t>
      </w:r>
      <w:r>
        <w:t xml:space="preserve"> </w:t>
      </w:r>
      <w:r>
        <w:rPr>
          <w:bCs/>
          <w:b/>
        </w:rPr>
        <w:t xml:space="preserve">Academic Researcher</w:t>
      </w:r>
      <w:r>
        <w:t xml:space="preserve">, this means stating the gap in current knowledge clearly. Why does this matter to the global community? How does it relate to ongoing debates in European academia? By anchoring your research in the broader context of</w:t>
      </w:r>
      <w:r>
        <w:t xml:space="preserve"> </w:t>
      </w:r>
      <w:r>
        <w:rPr>
          <w:bCs/>
          <w:b/>
        </w:rPr>
        <w:t xml:space="preserve">France Lyon</w:t>
      </w:r>
      <w:r>
        <w:t xml:space="preserve">'s academic priorities, you create relevance.</w:t>
      </w:r>
    </w:p>
    <w:bookmarkEnd w:id="25"/>
    <w:bookmarkStart w:id="26" w:name="interactive-engagement-techniques"/>
    <w:p>
      <w:pPr>
        <w:pStyle w:val="Heading3"/>
      </w:pPr>
      <w:r>
        <w:t xml:space="preserve">5. Interactive Engagement Techniques</w:t>
      </w:r>
    </w:p>
    <w:p>
      <w:pPr>
        <w:pStyle w:val="FirstParagraph"/>
      </w:pPr>
      <w:r>
        <w:br/>
      </w:r>
      <w:r>
        <w:t xml:space="preserve">Passive reading is rarely successful at conferences. The dynamic nature of an exhibition demands interaction. The</w:t>
      </w:r>
      <w:r>
        <w:t xml:space="preserve"> </w:t>
      </w:r>
      <w:r>
        <w:rPr>
          <w:bCs/>
          <w:b/>
        </w:rPr>
        <w:t xml:space="preserve">Academic Researcher</w:t>
      </w:r>
      <w:r>
        <w:t xml:space="preserve"> </w:t>
      </w:r>
      <w:r>
        <w:t xml:space="preserve">must stand by their poster, ready to facilitate dialogue. In the culturally rich setting of Lyon, conversation flows easily; leveraging this cultural trait can lead to unexpected collaborations.</w:t>
      </w:r>
    </w:p>
    <w:p>
      <w:pPr>
        <w:numPr>
          <w:ilvl w:val="0"/>
          <w:numId w:val="1002"/>
        </w:numPr>
        <w:pStyle w:val="Compact"/>
      </w:pPr>
      <w:r>
        <w:rPr>
          <w:bCs/>
          <w:b/>
        </w:rPr>
        <w:t xml:space="preserve">The Elevator Pitch:</w:t>
      </w:r>
      <w:r>
        <w:t xml:space="preserve"> </w:t>
      </w:r>
      <w:r>
        <w:t xml:space="preserve">Prepare a 30-second summary for passersby.</w:t>
      </w:r>
    </w:p>
    <w:p>
      <w:pPr>
        <w:numPr>
          <w:ilvl w:val="0"/>
          <w:numId w:val="1002"/>
        </w:numPr>
        <w:pStyle w:val="Compact"/>
      </w:pPr>
      <w:r>
        <w:rPr>
          <w:bCs/>
          <w:b/>
        </w:rPr>
        <w:t xml:space="preserve">The Deep Dive:</w:t>
      </w:r>
      <w:r>
        <w:t xml:space="preserve"> </w:t>
      </w:r>
      <w:r>
        <w:t xml:space="preserve">Be ready to discuss methodology with those who stop for longer periods.</w:t>
      </w:r>
    </w:p>
    <w:p>
      <w:pPr>
        <w:numPr>
          <w:ilvl w:val="0"/>
          <w:numId w:val="1002"/>
        </w:numPr>
        <w:pStyle w:val="Compact"/>
      </w:pPr>
      <w:r>
        <w:rPr>
          <w:bCs/>
          <w:b/>
        </w:rPr>
        <w:t xml:space="preserve">Digital Integration:</w:t>
      </w:r>
      <w:r>
        <w:t xml:space="preserve"> </w:t>
      </w:r>
      <w:r>
        <w:t xml:space="preserve">Provide QR codes linking to full papers or datasets, bridging the physical poster with digital resources.</w:t>
      </w:r>
    </w:p>
    <w:bookmarkEnd w:id="26"/>
    <w:p>
      <w:pPr>
        <w:pStyle w:val="FirstParagraph"/>
      </w:pPr>
      <w:r>
        <w:br/>
      </w:r>
    </w:p>
    <w:bookmarkStart w:id="27" w:name="Xed8801debe2229ce93a4992ba71b627793d99aa"/>
    <w:p>
      <w:pPr>
        <w:pStyle w:val="Heading3"/>
      </w:pPr>
      <w:r>
        <w:t xml:space="preserve">6. Conclusion: Elevating Standards in France Lyon</w:t>
      </w:r>
    </w:p>
    <w:p>
      <w:pPr>
        <w:pStyle w:val="FirstParagraph"/>
      </w:pPr>
      <w:r>
        <w:t xml:space="preserve">The synergy between rigorous inquiry and effective communication defines the success of the modern scholar. As we prepare for upcoming events in</w:t>
      </w:r>
      <w:r>
        <w:t xml:space="preserve"> </w:t>
      </w:r>
      <w:r>
        <w:rPr>
          <w:bCs/>
          <w:b/>
        </w:rPr>
        <w:t xml:space="preserve">France Lyon</w:t>
      </w:r>
      <w:r>
        <w:t xml:space="preserve">, it is incumbent upon every</w:t>
      </w:r>
      <w:r>
        <w:t xml:space="preserve"> </w:t>
      </w:r>
      <w:r>
        <w:rPr>
          <w:bCs/>
          <w:b/>
        </w:rPr>
        <w:t xml:space="preserve">Academic Researcher</w:t>
      </w:r>
      <w:r>
        <w:t xml:space="preserve"> </w:t>
      </w:r>
      <w:r>
        <w:t xml:space="preserve">to treat their poster presentation as a primary artifact of their professional identity.</w:t>
      </w:r>
    </w:p>
    <w:p>
      <w:pPr>
        <w:pStyle w:val="BodyText"/>
      </w:pPr>
      <w:r>
        <w:br/>
      </w:r>
    </w:p>
    <w:p>
      <w:pPr>
        <w:pStyle w:val="BodyText"/>
      </w:pPr>
      <w:r>
        <w:t xml:space="preserve">The city of Lyon offers a prestigious backdrop for scientific discourse, characterized by its historic architecture and forward-thinking research institutes. To honor this legacy, our presentations must be flawless. We urge all researchers to adopt the guidelines presented here: prioritize clarity, embrace visual storytelling, and engage actively with your peers.</w:t>
      </w:r>
    </w:p>
    <w:p>
      <w:pPr>
        <w:pStyle w:val="BodyText"/>
      </w:pPr>
      <w:r>
        <w:br/>
      </w:r>
    </w:p>
    <w:p>
      <w:pPr>
        <w:pStyle w:val="BodyText"/>
      </w:pPr>
      <w:r>
        <w:t xml:space="preserve">By mastering the art of the poster presentation, the</w:t>
      </w:r>
      <w:r>
        <w:t xml:space="preserve"> </w:t>
      </w:r>
      <w:r>
        <w:rPr>
          <w:bCs/>
          <w:b/>
        </w:rPr>
        <w:t xml:space="preserve">Academic Researcher</w:t>
      </w:r>
      <w:r>
        <w:t xml:space="preserve"> </w:t>
      </w:r>
      <w:r>
        <w:t xml:space="preserve">does more than share data; they influence policy, spark innovation, and contribute to the global advancement of knowledge. Let us move forward with excellence, ensuring that our work resonates deeply within the academic community of</w:t>
      </w:r>
      <w:r>
        <w:t xml:space="preserve"> </w:t>
      </w:r>
      <w:r>
        <w:rPr>
          <w:bCs/>
          <w:b/>
        </w:rPr>
        <w:t xml:space="preserve">France Lyon</w:t>
      </w:r>
      <w:r>
        <w:t xml:space="preserve"> </w:t>
      </w:r>
      <w:r>
        <w:t xml:space="preserve">and beyond.</w:t>
      </w:r>
    </w:p>
    <w:p>
      <w:pPr>
        <w:pStyle w:val="BodyText"/>
      </w:pPr>
      <w:r>
        <w:br/>
      </w:r>
    </w:p>
    <w:bookmarkEnd w:id="27"/>
    <w:bookmarkStart w:id="28" w:name="references-contact-information"/>
    <w:p>
      <w:pPr>
        <w:pStyle w:val="Heading3"/>
      </w:pPr>
      <w:r>
        <w:t xml:space="preserve">7. References &amp; Contact Information</w:t>
      </w:r>
    </w:p>
    <w:p>
      <w:pPr>
        <w:pStyle w:val="FirstParagraph"/>
      </w:pPr>
      <w:r>
        <w:br/>
      </w:r>
    </w:p>
    <w:p>
      <w:pPr>
        <w:pStyle w:val="BodyText"/>
      </w:pPr>
      <w:r>
        <w:t xml:space="preserve">For further inquiries regarding poster submission standards for the Lyon Symposium, please contact the organizing committee at lyon-academics@example.org.</w:t>
      </w:r>
    </w:p>
    <w:p>
      <w:pPr>
        <w:numPr>
          <w:ilvl w:val="0"/>
          <w:numId w:val="1003"/>
        </w:numPr>
        <w:pStyle w:val="Compact"/>
      </w:pPr>
      <w:r>
        <w:t xml:space="preserve">Lyon University Press (2022). Visual Communication in Higher Education.</w:t>
      </w:r>
    </w:p>
    <w:p>
      <w:pPr>
        <w:numPr>
          <w:ilvl w:val="0"/>
          <w:numId w:val="1003"/>
        </w:numPr>
        <w:pStyle w:val="Compact"/>
      </w:pPr>
      <w:r>
        <w:t xml:space="preserve">Schmidt, J. et al. (2021). "The Role of Design in Scientific Publishing." Journal of Academic Studies.</w:t>
      </w:r>
    </w:p>
    <w:p>
      <w:pPr>
        <w:numPr>
          <w:ilvl w:val="0"/>
          <w:numId w:val="1003"/>
        </w:numPr>
        <w:pStyle w:val="Compact"/>
      </w:pPr>
      <w:r>
        <w:t xml:space="preserve">Institute for Advanced Study, Lyon. (2023). Guidelines for International Conferences.</w:t>
      </w:r>
    </w:p>
    <w:p>
      <w:pPr>
        <w:pStyle w:val="FirstParagraph"/>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Lyon Symposium</dc:title>
  <dc:creator/>
  <dc:language>en</dc:language>
  <cp:keywords/>
  <dcterms:created xsi:type="dcterms:W3CDTF">2026-07-29T16:42:20Z</dcterms:created>
  <dcterms:modified xsi:type="dcterms:W3CDTF">2026-07-29T16:42:20Z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