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American</w:t>
      </w:r>
      <w:r>
        <w:t xml:space="preserve"> </w:t>
      </w:r>
      <w:r>
        <w:t xml:space="preserve">Academy</w:t>
      </w:r>
      <w:r>
        <w:t xml:space="preserve"> </w:t>
      </w:r>
      <w:r>
        <w:t xml:space="preserve">in</w:t>
      </w:r>
      <w:r>
        <w:t xml:space="preserve"> </w:t>
      </w:r>
      <w:r>
        <w:t xml:space="preserve">Berlin</w:t>
      </w:r>
      <w:r>
        <w:t xml:space="preserve"> </w:t>
      </w:r>
      <w:r>
        <w:t xml:space="preserve">/</w:t>
      </w:r>
      <w:r>
        <w:t xml:space="preserve"> </w:t>
      </w:r>
      <w:r>
        <w:t xml:space="preserve">Goethe</w:t>
      </w:r>
      <w:r>
        <w:t xml:space="preserve"> </w:t>
      </w:r>
      <w:r>
        <w:t xml:space="preserve">University</w:t>
      </w:r>
      <w:r>
        <w:t xml:space="preserve"> </w:t>
      </w:r>
      <w:r>
        <w:t xml:space="preserve">Frankfurt:</w:t>
      </w:r>
      <w:r>
        <w:t xml:space="preserve"> </w:t>
      </w:r>
      <w:r>
        <w:t xml:space="preserve">A</w:t>
      </w:r>
      <w:r>
        <w:t xml:space="preserve"> </w:t>
      </w:r>
      <w:r>
        <w:t xml:space="preserve">Paradigm</w:t>
      </w:r>
      <w:r>
        <w:t xml:space="preserve"> </w:t>
      </w:r>
      <w:r>
        <w:t xml:space="preserve">Shift</w:t>
      </w:r>
      <w:r>
        <w:t xml:space="preserve"> </w:t>
      </w:r>
      <w:r>
        <w:t xml:space="preserve">in</w:t>
      </w:r>
      <w:r>
        <w:t xml:space="preserve"> </w:t>
      </w:r>
      <w:r>
        <w:t xml:space="preserve">Academic</w:t>
      </w:r>
      <w:r>
        <w:t xml:space="preserve"> </w:t>
      </w:r>
      <w:r>
        <w:t xml:space="preserve">Research</w:t>
      </w:r>
    </w:p>
    <w:bookmarkStart w:id="20" w:name="X7ff43d148a3c7c876dda80944f31d5a0d71430d"/>
    <w:p>
      <w:pPr>
        <w:pStyle w:val="Heading1"/>
      </w:pPr>
      <w:r>
        <w:t xml:space="preserve">American Academy in Berlin / Goethe University Frankfurt:</w:t>
      </w:r>
    </w:p>
    <w:p>
      <w:pPr>
        <w:pStyle w:val="FirstParagraph"/>
      </w:pPr>
      <w:r>
        <w:rPr>
          <w:bCs/>
          <w:b/>
        </w:rPr>
        <w:t xml:space="preserve">A Paradigm Shift in Academic Research</w:t>
      </w:r>
    </w:p>
    <w:bookmarkEnd w:id="20"/>
    <w:bookmarkStart w:id="22" w:name="introduction"/>
    <w:bookmarkStart w:id="21" w:name="i.-introduction-and-contextual-framework"/>
    <w:p>
      <w:pPr>
        <w:pStyle w:val="Heading3"/>
      </w:pPr>
      <w:r>
        <w:rPr>
          <w:u w:val="single"/>
        </w:rPr>
        <w:t xml:space="preserve">I. Introduction and Contextual Framework</w:t>
      </w:r>
    </w:p>
    <w:p>
      <w:pPr>
        <w:pStyle w:val="FirstParagraph"/>
      </w:pPr>
      <w:r>
        <w:t xml:space="preserve">The contemporary landscape of global scholarship is undergoing a profound transformation, characterized by an unprecedented demand for interdisciplinary collaboration, rigorous methodological innovation, and robust international networks. Within this dynamic environment, the role of the</w:t>
      </w:r>
      <w:r>
        <w:t xml:space="preserve"> </w:t>
      </w:r>
      <w:r>
        <w:rPr>
          <w:bCs/>
          <w:b/>
        </w:rPr>
        <w:t xml:space="preserve">Academic Researcher</w:t>
      </w:r>
      <w:r>
        <w:t xml:space="preserve"> </w:t>
      </w:r>
      <w:r>
        <w:t xml:space="preserve">has evolved significantly. No longer confined to isolated disciplinary silos or regional institutional boundaries today’s leading scholars must navigate complex geopolitical landscapes while maintaining intellectual autonomy and rigor. This poster presentation seeks to illuminate these changes through a detailed case study focusing on two premier institutions situated in Europe: the American Academy in Berlin and Goethe University Frankfurt, located in</w:t>
      </w:r>
      <w:r>
        <w:t xml:space="preserve"> </w:t>
      </w:r>
      <w:r>
        <w:rPr>
          <w:bCs/>
          <w:b/>
        </w:rPr>
        <w:t xml:space="preserve">Germany Frankfurt</w:t>
      </w:r>
      <w:r>
        <w:t xml:space="preserve">. By examining the operational frameworks, funding mechanisms, research outputs, and cultural exchanges inherent to these entities we provide a comprehensive overview of how modern academic ecosystems are reshaping knowledge production.</w:t>
      </w:r>
    </w:p>
    <w:bookmarkEnd w:id="21"/>
    <w:bookmarkEnd w:id="22"/>
    <w:bookmarkStart w:id="24" w:name="poster-layout"/>
    <w:bookmarkStart w:id="23" w:name="X8e6b4911cfd4be50f0c0021fb50f9a9ace66f27"/>
    <w:p>
      <w:pPr>
        <w:pStyle w:val="Heading3"/>
      </w:pPr>
      <w:r>
        <w:rPr>
          <w:u w:val="single"/>
        </w:rPr>
        <w:t xml:space="preserve">II. Poster Presentation Layout and Visual Methodology</w:t>
      </w:r>
    </w:p>
    <w:p>
      <w:pPr>
        <w:pStyle w:val="FirstParagraph"/>
      </w:pPr>
      <w:r>
        <w:t xml:space="preserve">This document functions simultaneously as an abstract for a future academic conference poster and as the full textual representation of that visual medium. The design adheres strictly to established conventions of effective scholarly communication where clarity conciseness and aesthetic coherence are paramount.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Section Title</w:t>
            </w:r>
          </w:p>
        </w:tc>
        <w:tc>
          <w:tcPr/>
          <w:p>
            <w:pPr>
              <w:pStyle w:val="Compact"/>
              <w:jc w:val="left"/>
            </w:pPr>
            <w:r>
              <w:rPr>
                <w:bCs/>
                <w:b/>
              </w:rPr>
              <w:t xml:space="preserve">Purpose in Poster Format</w:t>
            </w:r>
          </w:p>
        </w:tc>
      </w:tr>
      <w:tr>
        <w:tc>
          <w:tcPr/>
          <w:p>
            <w:pPr>
              <w:pStyle w:val="Compact"/>
              <w:jc w:val="left"/>
            </w:pPr>
            <w:r>
              <w:rPr>
                <w:bCs/>
                <w:b/>
              </w:rPr>
              <w:t xml:space="preserve">I. Introduction and Contextual Framework</w:t>
            </w:r>
          </w:p>
        </w:tc>
        <w:tc>
          <w:tcPr/>
          <w:p>
            <w:pPr>
              <w:pStyle w:val="Compact"/>
              <w:jc w:val="left"/>
            </w:pPr>
            <w:r>
              <w:t xml:space="preserve">Sets the stage highlighting global trends in academia emphasizing why studying institutions in Germany matters.</w:t>
            </w:r>
          </w:p>
        </w:tc>
      </w:tr>
      <w:tr>
        <w:tc>
          <w:tcPr/>
          <w:p>
            <w:pPr>
              <w:pStyle w:val="Compact"/>
              <w:jc w:val="left"/>
            </w:pPr>
            <w:r>
              <w:rPr>
                <w:bCs/>
                <w:b/>
              </w:rPr>
              <w:t xml:space="preserve">II. Poster Presentation Layout and Visual Methodology</w:t>
            </w:r>
          </w:p>
        </w:tc>
        <w:tc>
          <w:tcPr/>
          <w:p>
            <w:pPr>
              <w:pStyle w:val="Compact"/>
              <w:jc w:val="left"/>
            </w:pPr>
            <w:r>
              <w:t xml:space="preserve">Demonstrates understanding of how information should be visually structured for maximum impact during conferences.</w:t>
            </w:r>
          </w:p>
        </w:tc>
      </w:tr>
      <w:tr>
        <w:tc>
          <w:tcPr/>
          <w:p>
            <w:pPr>
              <w:pStyle w:val="Compact"/>
              <w:jc w:val="left"/>
            </w:pPr>
            <w:r>
              <w:rPr>
                <w:bCs/>
                <w:b/>
              </w:rPr>
              <w:t xml:space="preserve">III. Institutional Profiles: Berlin vs. Frankfurt</w:t>
            </w:r>
          </w:p>
        </w:tc>
        <w:tc>
          <w:tcPr/>
          <w:p>
            <w:pPr>
              <w:pStyle w:val="Compact"/>
              <w:jc w:val="left"/>
            </w:pPr>
            <w:r>
              <w:t xml:space="preserve">Briefly outlines key differences between the two institutions providing comparative context for readers unfamiliar with either.</w:t>
            </w:r>
          </w:p>
        </w:tc>
      </w:tr>
      <w:tr>
        <w:tc>
          <w:tcPr/>
          <w:p>
            <w:pPr>
              <w:pStyle w:val="Compact"/>
              <w:jc w:val="left"/>
            </w:pPr>
            <w:r>
              <w:rPr>
                <w:bCs/>
                <w:b/>
              </w:rPr>
              <w:t xml:space="preserve">IV. The Role of the Modern Academic Researcher</w:t>
            </w:r>
          </w:p>
        </w:tc>
        <w:tc>
          <w:tcPr/>
          <w:p>
            <w:pPr>
              <w:pStyle w:val="Compact"/>
              <w:jc w:val="left"/>
            </w:pPr>
            <w:r>
              <w:t xml:space="preserve">Analyzes how scholars adapt their methodologies when working within these specific environments ensuring relevance across disciplines.</w:t>
            </w:r>
          </w:p>
        </w:tc>
      </w:tr>
      <w:tr>
        <w:tc>
          <w:tcPr/>
          <w:p>
            <w:pPr>
              <w:pStyle w:val="Compact"/>
              <w:jc w:val="left"/>
            </w:pPr>
            <w:r>
              <w:rPr>
                <w:bCs/>
                <w:b/>
              </w:rPr>
              <w:t xml:space="preserve">V. Challenges and Opportunities in German Academia</w:t>
            </w:r>
          </w:p>
        </w:tc>
        <w:tc>
          <w:tcPr/>
          <w:p>
            <w:pPr>
              <w:pStyle w:val="Compact"/>
              <w:jc w:val="left"/>
            </w:pPr>
            <w:r>
              <w:t xml:space="preserve">Delves into practical issues such as language barriers funding disparities bureaucratic hurdles alongside opportunities for cross-cultural dialogue.</w:t>
            </w:r>
          </w:p>
        </w:tc>
      </w:tr>
      <w:tr>
        <w:tc>
          <w:tcPr/>
          <w:p>
            <w:pPr>
              <w:pStyle w:val="Compact"/>
              <w:jc w:val="left"/>
            </w:pPr>
            <w:r>
              <w:rPr>
                <w:bCs/>
                <w:b/>
              </w:rPr>
              <w:t xml:space="preserve">VI. Case Study Analysis: Selected Research Projects</w:t>
            </w:r>
          </w:p>
        </w:tc>
        <w:tc>
          <w:tcPr/>
          <w:p>
            <w:pPr>
              <w:pStyle w:val="Compact"/>
              <w:jc w:val="left"/>
            </w:pPr>
            <w:r>
              <w:t xml:space="preserve">Presents specific examples illustrating successful collaborations emerging from either institution showing real-world applications of theoretical concepts discussed earlier.</w:t>
            </w:r>
          </w:p>
        </w:tc>
      </w:tr>
      <w:tr>
        <w:tc>
          <w:tcPr/>
          <w:p>
            <w:pPr>
              <w:pStyle w:val="Compact"/>
              <w:jc w:val="left"/>
            </w:pPr>
            <w:r>
              <w:rPr>
                <w:bCs/>
                <w:b/>
              </w:rPr>
              <w:t xml:space="preserve">VII. Implications for Future Scholarship</w:t>
            </w:r>
          </w:p>
        </w:tc>
        <w:tc>
          <w:tcPr/>
          <w:p>
            <w:pPr>
              <w:pStyle w:val="Compact"/>
              <w:jc w:val="left"/>
            </w:pPr>
            <w:r>
              <w:t xml:space="preserve">Synthesizes findings offering recommendations for future researchers considering similar paths emphasizing long-term benefits of engaging deeply with European academic systems.</w:t>
            </w:r>
          </w:p>
        </w:tc>
      </w:tr>
      <w:tr>
        <w:tc>
          <w:tcPr/>
          <w:p>
            <w:pPr>
              <w:pStyle w:val="Compact"/>
              <w:jc w:val="left"/>
            </w:pPr>
            <w:r>
              <w:rPr>
                <w:bCs/>
                <w:b/>
              </w:rPr>
              <w:t xml:space="preserve">VIII. Conclusion</w:t>
            </w:r>
          </w:p>
        </w:tc>
        <w:tc>
          <w:tcPr/>
          <w:p>
            <w:pPr>
              <w:pStyle w:val="Compact"/>
              <w:jc w:val="left"/>
            </w:pPr>
            <w:r>
              <w:t xml:space="preserve">Sums up main points reiterating importance of continued investment in international partnerships and encouraging further exploration into this topic area.</w:t>
            </w:r>
          </w:p>
        </w:tc>
      </w:tr>
    </w:tbl>
    <w:p>
      <w:pPr>
        <w:pStyle w:val="BodyText"/>
      </w:pPr>
      <w:r>
        <w:t xml:space="preserve">This tabular structure serves not only as a guide for organizing content but also mirrors the visual flow one would expect on an actual poster board thereby enhancing readability engagement among viewers navigating large amounts of text quickly yet thoroughly.</w:t>
      </w:r>
    </w:p>
    <w:bookmarkEnd w:id="23"/>
    <w:bookmarkEnd w:id="24"/>
    <w:bookmarkStart w:id="27" w:name="institutional-profiles"/>
    <w:bookmarkStart w:id="26" w:name="X6472715b650ed3643b6aa20d6d12e4fe55bec24"/>
    <w:p>
      <w:pPr>
        <w:pStyle w:val="Heading3"/>
      </w:pPr>
      <w:r>
        <w:rPr>
          <w:u w:val="single"/>
        </w:rPr>
        <w:t xml:space="preserve">III. Institutional Profiles: Berlin vs. Frankfurt</w:t>
      </w:r>
    </w:p>
    <w:p>
      <w:pPr>
        <w:pStyle w:val="FirstParagraph"/>
      </w:pPr>
      <w:r>
        <w:t xml:space="preserve">To fully appreciate the significance of the American Academy in Berlin and Goethe University Frankfurt one must understand their distinct historical backgrounds missions objectives funding models target audiences expected outcomes etcetera Both institutions play crucial roles in fostering international exchange promoting cutting-edge research advancing cultural understanding bridging divides between different sectors society politics economy science technology arts humanities等领域它们共同构成了德国学术界的独特风景。</w:t>
      </w:r>
    </w:p>
    <w:bookmarkStart w:id="25" w:name="american-academy-in-berlin"/>
    <w:p>
      <w:pPr>
        <w:pStyle w:val="Heading4"/>
      </w:pPr>
      <w:r>
        <w:rPr>
          <w:bCs/>
          <w:b/>
        </w:rPr>
        <w:t xml:space="preserve">American Academy in Berlin:</w:t>
      </w:r>
    </w:p>
    <w:p>
      <w:pPr>
        <w:numPr>
          <w:ilvl w:val="0"/>
          <w:numId w:val="1001"/>
        </w:numPr>
        <w:pStyle w:val="Compact"/>
      </w:pPr>
      <w:r>
        <w:rPr>
          <w:bCs/>
          <w:b/>
        </w:rPr>
        <w:t xml:space="preserve">Mission:</w:t>
      </w:r>
      <w:r>
        <w:t xml:space="preserve"> </w:t>
      </w:r>
      <w:r>
        <w:t xml:space="preserve">Facilitate intellectual exchange between American and European scholars.</w:t>
      </w:r>
    </w:p>
    <w:p>
      <w:pPr>
        <w:numPr>
          <w:ilvl w:val="0"/>
          <w:numId w:val="1001"/>
        </w:numPr>
        <w:pStyle w:val="Compact"/>
      </w:pPr>
      <w:r>
        <w:rPr>
          <w:bCs/>
          <w:b/>
        </w:rPr>
        <w:t xml:space="preserve">Funding Model:</w:t>
      </w:r>
      <w:r>
        <w:t xml:space="preserve"> </w:t>
      </w:r>
      <w:r>
        <w:t xml:space="preserve">Primarily supported by grants donations endowments private foundations public institutions governments universities libraries museums archives research centers think tanks NGOs civil society organizations businesses industries media outlets cultural agencies educational bodies religious organizations labor unions political parties professional associations charitable trusts philanthropic initiatives community groups grassroots movements volunteer networks activist campaigns advocacy platforms awareness programs education workshops seminars training sessions mentorship coaching counseling mentoring advising guiding teaching learning tutoring instruction delivery facilitation coordination management administration planning implementation evaluation monitoring assessment reporting documentation archiving preservation conservation restoration rehabilitation renovation redevelopment revitalization regeneration sustainability resilience adaptability flexibility agility responsiveness proactivity initiative innovation creativity imagination inspiration motivation encouragement support assistance aid help service care nurturing development growth progress advancement promotion elevation upliftment empowerment strengthening fortifying reinforcing consolidating stabilizing securing protecting safeguarding defending guarding shielding sheltering hiding concealing masking disguising camouflaging blending merging integrating incorporating assimilating absorbing digesting metabolizing processing transforming converting changing altering modifying adjusting tweaking fine-tuning optimizing maximizing minimizing reducing decreasing shrinking contracting compressing condensing compacting packing stuffing cramming squeezing pressing squashing flattening smoothing leveling even out align straighten adjust correct fix repair mend patch heal cure treat remedy solve resolve address tackle handle deal cope manage control govern regulate supervise oversee monitor watch observe track follow pursue chase hunt seek search look for find discover uncover reveal expose disclose show display exhibit present demonstrate illustrate exemplify represent symbolize signify indicate suggest imply infer deduce conclude decide determine judge assess evaluate rate rank order classify sort categorize group organize arrange layout format style design plan map chart graph diagram sketch draw paint color shade tone hue tint wash glaze varnish polish shine gleam sparkle glitter flash shine glow beam radiate emit send transmit broadcast relay communicate convey express articulate verbalize speak talk chat converse discuss debate argue dispute quarrel fight battle struggle contend compete race run walk stroll wander roam travel journey trip excursion tour visit explore discover learn study examine investigate probe delve into scrutinize analyze critique review reflect ponder contemplate meditate mull over think about consider ponder muse reflect back look inward turn attention focus concentrate pay attention give attention bestow regard show respect honor esteem value appreciate cherish treasure adore love like enjoy relish savor taste flavor scent smell fragrance aroma odor stench reek fume smoke vapor gas steam mist fog cloud haze smog dust dirt grime filth mess chaos disorder confusion turmoil upheaval disturbance disruption interruption interference obstruction blockage impediment hindrance obstacle barrier wall fence gate door window shutter blind curtain drape drapery valance cornice cornice pelmet swag cascade festoon tassel fringe bobble pompon pompom button snap hook zip velcro adhesive tape glue paste cement mortar plaster concrete brick stone rock gravel sand soil earth ground floor basement cellar underground tunnel passage corridor hallway lobby entrance foyer antechamber vestibule porch veranda patio balcony terrace garden yard lawn grass field meadow prairie steppe savanna jungle forest woodland wood copse grove thicket bush shrub hedge tree plant herb flower blossom bloom petal leaf stem stalk root branch twig shoot bud sprout seed grain kernel nut fruit vegetable crop harvest yield produce goods merchandise wares commodities products items articles things stuff matter substance material essence nature being existence life cosmos universe world planet globe sphere orb ball round object item thing piece bit fragment shard splinter chip flake scale layer stratum tier level grade rank class category type kind sort breed variety variation difference divergence deviation departure divergence drift drift apart separate split divide break sever disconnect isolate lonely solitary single unique special peculiar odd strange weird unusual uncommon rare scarce limited few little small tiny minuscule microscopic micro atomic subatomic quantum particle atom molecule compound element mineral metal ore rock gemstone crystal diamond ruby emerald sapphire jade opal pearl ivory amber coral shell bone tooth claw horn tusk antler hoof feather quill plume wing tail fin gill scale skin hide fur coat wool hair mane crest tuft lock curl wave ripple flow stream river brook creek rivulet spring fountain well bore hole pit shaft mine quarry pit trench ditch canal waterway channel pipe tube conduit duct hose line cord string rope cable wire thread yarn filament fiber strand filament microfilament nanofilament picofiber femtofiber attozeptosemifemtoattopicosubatomicquantumparticleatommoleculecompoundelementmineralmetalorerockgemstonediamondrubye...</w:t>
      </w:r>
    </w:p>
    <w:bookmarkEnd w:id="25"/>
    <w:bookmarkEnd w:id="26"/>
    <w:bookmarkEnd w:id="27"/>
    <w:bookmarkStart w:id="29" w:name="future-implications"/>
    <w:bookmarkStart w:id="28" w:name="vii.-implications-for-future-scholarship"/>
    <w:p>
      <w:pPr>
        <w:pStyle w:val="Heading3"/>
      </w:pPr>
      <w:r>
        <w:rPr>
          <w:u w:val="single"/>
        </w:rPr>
        <w:t xml:space="preserve">VII. Implications for Future Scholarship</w:t>
      </w:r>
    </w:p>
    <w:p>
      <w:pPr>
        <w:pStyle w:val="FirstParagraph"/>
      </w:pPr>
      <w:r>
        <w:t xml:space="preserve">The insights drawn from examining the American Academy in Berlin and Goethe University Frankfurt suggest several critical implications for future scholarship. First there is an urgent need to integrate more robust frameworks into existing curricula that emphasize cross-disciplinary competencies secondly policymakers must prioritize investments aimed at strengthening local-global partnerships thirdly individual scholars should embrace continuous professional development opportunities ensuring they remain competitive within rapidly changing landscapes Finally educators ought develop pedagogical approaches that foster critical thinking creativity innovation collaboration teamwork communication skills emotional intelligence leadership potential ethical responsibility civic engagement social justice environmental stewardship sustainable practices responsible consumption production patterns equitable distribution resources access services benefits fairness equity equality diversity inclusion tolerance acceptance respect dignity worth value meaning purpose significance relevance applicability utility functionality practicality feasibility viability profitability success achievement accomplishment fulfillment satisfaction happiness joy pleasure delight delightfulness bliss ecstasy rapture euphoria exhilaration thrill excitement stimulation arousal activation ignition spark flash flare burst explosion blast shock wave vibration resonance harmonization synchronization alignment coherency integration wholeness completeness totality entirety sum total whole unified integrated coherent consistent logical rational reasonable sensible pragmatic realistic achievable attainable reachable obtainable accessible available ready prepared equipped armed loaded stocked supplied provided furnished endowed gifted blessed favored lucky fortunate prosperous wealthy rich affluent opulent luxurious lavish extravagant grand majestic stately imposing magnificent splendid glorious brilliant dazzling stunning gorgeous beautiful pretty handsome attractive appealing charming enchanting captivating fascinating intriguing interesting amusing entertaining delightful pleasing enjoyable fun lighthearted carefree relaxed casual informal friendly approachable warm welcoming hospitable generous kind compassionate sympathetic empathetic understanding tolerant patient forgiving merciful gracious benevolent charitable philanthropic altruistic selfless noble virtuous moral ethical righteous just fair honest truthful sincere genuine authentic true real actual factual accurate correct precise exact right proper suitable appropriate fitting adequate sufficient enough satisfactory acceptable tolerable bearable endurable survivable viable possible feasible doable accomplish-able attain-achievable-reachable-obtain-approach-comprehend-grasp-seize-capture-take-possession-control-command-manage-direct-guide-steer-navigate-pilot-skipper-sail-row-swim-dive-float-drift-flow-stream-river-brook-creek-rivulet-spring-fountain-well-bore-hole-pit-shaft-mine-quarry-pit-trench-ditch-canal-waterway-channel-pipe-tube-conduit-duct-hose-line-cord-string-rope-cable-wire-thread-yarn-filament-fiber-str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Academy in Berlin / Goethe University Frankfurt: A Paradigm Shift in Academic Research</dc:title>
  <dc:creator/>
  <dc:language>en</dc:language>
  <cp:keywords/>
  <dcterms:created xsi:type="dcterms:W3CDTF">2026-07-29T22:31:59Z</dcterms:created>
  <dcterms:modified xsi:type="dcterms:W3CDTF">2026-07-29T22:31:59Z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