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Poster</w:t>
      </w:r>
      <w:r>
        <w:t xml:space="preserve"> </w:t>
      </w:r>
      <w:r>
        <w:t xml:space="preserve">Presentation:</w:t>
      </w:r>
      <w:r>
        <w:t xml:space="preserve"> </w:t>
      </w:r>
      <w:r>
        <w:t xml:space="preserve">Advancing</w:t>
      </w:r>
      <w:r>
        <w:t xml:space="preserve"> </w:t>
      </w:r>
      <w:r>
        <w:t xml:space="preserve">Academic</w:t>
      </w:r>
      <w:r>
        <w:t xml:space="preserve"> </w:t>
      </w:r>
      <w:r>
        <w:t xml:space="preserve">Research</w:t>
      </w:r>
      <w:r>
        <w:t xml:space="preserve"> </w:t>
      </w:r>
      <w:r>
        <w:t xml:space="preserve">in</w:t>
      </w:r>
      <w:r>
        <w:t xml:space="preserve"> </w:t>
      </w:r>
      <w:r>
        <w:t xml:space="preserve">Saudi</w:t>
      </w:r>
      <w:r>
        <w:t xml:space="preserve"> </w:t>
      </w:r>
      <w:r>
        <w:t xml:space="preserve">Arabia</w:t>
      </w:r>
      <w:r>
        <w:t xml:space="preserve"> </w:t>
      </w:r>
      <w:r>
        <w:t xml:space="preserve">Riyadh</w:t>
      </w:r>
    </w:p>
    <w:bookmarkStart w:id="20" w:name="bridging-tradition-and-innovation"/>
    <w:p>
      <w:pPr>
        <w:pStyle w:val="Heading1"/>
      </w:pPr>
      <w:r>
        <w:t xml:space="preserve">Bridging Tradition and Innovation</w:t>
      </w:r>
    </w:p>
    <w:p>
      <w:pPr>
        <w:pStyle w:val="FirstParagraph"/>
      </w:pPr>
      <w:r>
        <w:t xml:space="preserve">A Comprehensive Framework for the Modern Academic Researcher in Saudi Arabia Riyadh</w:t>
      </w:r>
    </w:p>
    <w:p>
      <w:pPr>
        <w:pStyle w:val="BodyText"/>
      </w:pPr>
      <w:r>
        <w:rPr>
          <w:bCs/>
          <w:b/>
        </w:rPr>
        <w:t xml:space="preserve">Status:</w:t>
      </w:r>
      <w:r>
        <w:t xml:space="preserve"> </w:t>
      </w:r>
      <w:r>
        <w:t xml:space="preserve">Draft for Conference Poster Presentation |</w:t>
      </w:r>
      <w:r>
        <w:t xml:space="preserve"> </w:t>
      </w:r>
      <w:r>
        <w:rPr>
          <w:bCs/>
          <w:b/>
        </w:rPr>
        <w:t xml:space="preserve">Date:</w:t>
      </w:r>
      <w:r>
        <w:t xml:space="preserve"> </w:t>
      </w:r>
      <w:r>
        <w:t xml:space="preserve">October 2023</w:t>
      </w:r>
    </w:p>
    <w:bookmarkEnd w:id="20"/>
    <w:bookmarkStart w:id="21" w:name="introduction-and-contextual-background"/>
    <w:p>
      <w:pPr>
        <w:pStyle w:val="Heading2"/>
      </w:pPr>
      <w:r>
        <w:t xml:space="preserve">1. Introduction and Contextual Background</w:t>
      </w:r>
    </w:p>
    <w:p>
      <w:pPr>
        <w:pStyle w:val="FirstParagraph"/>
      </w:pPr>
      <w:r>
        <w:t xml:space="preserve">The landscape of higher education and scientific inquiry is undergoing a profound transformation globally, yet few regions are currently witnessing such rapid and strategic evolution as the Kingdom of Saudi Arabia. Central to this metamorphosis is the capital city,</w:t>
      </w:r>
      <w:r>
        <w:t xml:space="preserve"> </w:t>
      </w:r>
      <w:r>
        <w:rPr>
          <w:bCs/>
          <w:b/>
        </w:rPr>
        <w:t xml:space="preserve">Saudi Arabia Riyadh</w:t>
      </w:r>
      <w:r>
        <w:t xml:space="preserve">, which has emerged as a burgeoning hub for intellectual exchange, technological innovation, and cross-cultural academic collaboration. This poster presentation explores the multifaceted role of the contemporary</w:t>
      </w:r>
      <w:r>
        <w:t xml:space="preserve"> </w:t>
      </w:r>
      <w:r>
        <w:rPr>
          <w:bCs/>
          <w:b/>
        </w:rPr>
        <w:t xml:space="preserve">Academic Researcher</w:t>
      </w:r>
      <w:r>
        <w:t xml:space="preserve"> </w:t>
      </w:r>
      <w:r>
        <w:t xml:space="preserve">within this dynamic ecosystem. As part of Vision 2030 initiatives, the demand for high-impact research is not merely an administrative goal but a societal imperative. This document outlines how an</w:t>
      </w:r>
      <w:r>
        <w:t xml:space="preserve"> </w:t>
      </w:r>
      <w:r>
        <w:rPr>
          <w:bCs/>
          <w:b/>
        </w:rPr>
        <w:t xml:space="preserve">Academic Researcher</w:t>
      </w:r>
      <w:r>
        <w:t xml:space="preserve"> </w:t>
      </w:r>
      <w:r>
        <w:t xml:space="preserve">can effectively navigate, contribute to, and lead scholarly activities in</w:t>
      </w:r>
      <w:r>
        <w:t xml:space="preserve"> </w:t>
      </w:r>
      <w:r>
        <w:rPr>
          <w:bCs/>
          <w:b/>
        </w:rPr>
        <w:t xml:space="preserve">Saudi Arabia Riyadh</w:t>
      </w:r>
      <w:r>
        <w:t xml:space="preserve">, ensuring that their work aligns with both global academic standards and local cultural values.</w:t>
      </w:r>
    </w:p>
    <w:bookmarkEnd w:id="21"/>
    <w:bookmarkStart w:id="22" w:name="X7c3090ffe988ae8e0521e36005d64eb1d07db93"/>
    <w:p>
      <w:pPr>
        <w:pStyle w:val="Heading2"/>
      </w:pPr>
      <w:r>
        <w:t xml:space="preserve">2. The Evolving Role of the Academic Researcher</w:t>
      </w:r>
    </w:p>
    <w:p>
      <w:pPr>
        <w:pStyle w:val="FirstParagraph"/>
      </w:pPr>
      <w:r>
        <w:t xml:space="preserve">The definition of an</w:t>
      </w:r>
      <w:r>
        <w:t xml:space="preserve"> </w:t>
      </w:r>
      <w:r>
        <w:rPr>
          <w:bCs/>
          <w:b/>
        </w:rPr>
        <w:t xml:space="preserve">Academic Researcher</w:t>
      </w:r>
      <w:r>
        <w:t xml:space="preserve">.</w:t>
      </w:r>
      <w:r>
        <w:t xml:space="preserve"> </w:t>
      </w:r>
      <w:r>
        <w:t xml:space="preserve">is expanding beyond traditional laboratory work or theoretical analysis. In the context of</w:t>
      </w:r>
      <w:r>
        <w:t xml:space="preserve"> </w:t>
      </w:r>
      <w:r>
        <w:rPr>
          <w:bCs/>
          <w:b/>
        </w:rPr>
        <w:t xml:space="preserve">Saudi Arabia Riyadh</w:t>
      </w:r>
      <w:r>
        <w:t xml:space="preserve">, the researcher is increasingly expected to be a catalyst for societal change. This involves:</w:t>
      </w:r>
    </w:p>
    <w:p>
      <w:pPr>
        <w:numPr>
          <w:ilvl w:val="0"/>
          <w:numId w:val="1001"/>
        </w:numPr>
        <w:pStyle w:val="Compact"/>
      </w:pPr>
      <w:r>
        <w:rPr>
          <w:bCs/>
          <w:b/>
        </w:rPr>
        <w:t xml:space="preserve">Cross-Disciplinary Collaboration:</w:t>
      </w:r>
      <w:r>
        <w:t xml:space="preserve"> </w:t>
      </w:r>
      <w:r>
        <w:t xml:space="preserve">Breaking down silos between humanities, engineering, and medical sciences.</w:t>
      </w:r>
    </w:p>
    <w:p>
      <w:pPr>
        <w:numPr>
          <w:ilvl w:val="0"/>
          <w:numId w:val="1001"/>
        </w:numPr>
        <w:pStyle w:val="Compact"/>
      </w:pPr>
      <w:r>
        <w:rPr>
          <w:bCs/>
          <w:b/>
        </w:rPr>
        <w:t xml:space="preserve">Industry-Academia Linkage:</w:t>
      </w:r>
    </w:p>
    <w:p>
      <w:pPr>
        <w:numPr>
          <w:ilvl w:val="0"/>
          <w:numId w:val="1001"/>
        </w:numPr>
        <w:pStyle w:val="Compact"/>
      </w:pPr>
      <w:r>
        <w:rPr>
          <w:bCs/>
          <w:b/>
        </w:rPr>
        <w:t xml:space="preserve">Cultural Stewardship:</w:t>
      </w:r>
      <w:r>
        <w:t xml:space="preserve"> </w:t>
      </w:r>
      <w:r>
        <w:t xml:space="preserve">Integrating Islamic ethical frameworks with modern scientific inquiry to produce research that is both globally relevant and locally respectful.</w:t>
      </w:r>
    </w:p>
    <w:bookmarkEnd w:id="22"/>
    <w:bookmarkStart w:id="23" w:name="X233bbc96fd3163e7236764ab9d0b5dfeb64f646"/>
    <w:p>
      <w:pPr>
        <w:pStyle w:val="Heading2"/>
      </w:pPr>
      <w:r>
        <w:t xml:space="preserve">3. Strategic Alignment with Saudi Arabia Riyadh</w:t>
      </w:r>
    </w:p>
    <w:p>
      <w:pPr>
        <w:pStyle w:val="FirstParagraph"/>
      </w:pPr>
      <w:r>
        <w:rPr>
          <w:bCs/>
          <w:b/>
        </w:rPr>
        <w:t xml:space="preserve">Saudi Arabia Riyadh</w:t>
      </w:r>
      <w:r>
        <w:t xml:space="preserve">, the capital city, is rapidly developing into a global knowledge economy center. Key initiatives such as the King Abdulaziz City for Science and Technology (KACST) and various specialized economic zones are providing fertile ground for</w:t>
      </w:r>
    </w:p>
    <w:p>
      <w:pPr>
        <w:pStyle w:val="BodyText"/>
      </w:pPr>
      <w:r>
        <w:t xml:space="preserve">Academic Researcher activities. The poster highlights several critical areas where researchers can make immediate impacts:</w:t>
      </w:r>
    </w:p>
    <w:p>
      <w:pPr>
        <w:numPr>
          <w:ilvl w:val="0"/>
          <w:numId w:val="1002"/>
        </w:numPr>
        <w:pStyle w:val="Compact"/>
      </w:pPr>
      <w:r>
        <w:rPr>
          <w:bCs/>
          <w:b/>
        </w:rPr>
        <w:t xml:space="preserve">Sustainability and Environmental Science:</w:t>
      </w:r>
    </w:p>
    <w:p>
      <w:pPr>
        <w:numPr>
          <w:ilvl w:val="0"/>
          <w:numId w:val="1002"/>
        </w:numPr>
        <w:pStyle w:val="Compact"/>
      </w:pPr>
      <w:r>
        <w:rPr>
          <w:bCs/>
          <w:b/>
        </w:rPr>
        <w:t xml:space="preserve">Digital Health and AI:</w:t>
      </w:r>
    </w:p>
    <w:p>
      <w:pPr>
        <w:numPr>
          <w:ilvl w:val="0"/>
          <w:numId w:val="1000"/>
        </w:numPr>
        <w:pStyle w:val="Compact"/>
      </w:pPr>
      <w:r>
        <w:t xml:space="preserve">The Kingdom is investing heavily in smart health systems. An focusing on biomedical engineering or data science plays a pivotal role in shaping the future of healthcare delivery in Riyadh.</w:t>
      </w:r>
    </w:p>
    <w:bookmarkEnd w:id="23"/>
    <w:bookmarkStart w:id="24" w:name="designing-the-academic-research-poster"/>
    <w:p>
      <w:pPr>
        <w:pStyle w:val="Heading2"/>
      </w:pPr>
      <w:r>
        <w:t xml:space="preserve">4. Designing the Academic Research Poster</w:t>
      </w:r>
    </w:p>
    <w:p>
      <w:pPr>
        <w:pStyle w:val="FirstParagraph"/>
      </w:pPr>
      <w:r>
        <w:t xml:space="preserve">A successful academic poster presentation is a critical skill for any researcher aiming to disseminate their findings effectively in conferences held in Riyadh. The visual communication of complex data requires precision, clarity, and aesthetic appeal. For an , the poster serves as a tangible representation of their intellectual contribution. Key elements include:</w:t>
      </w:r>
    </w:p>
    <w:p>
      <w:pPr>
        <w:numPr>
          <w:ilvl w:val="0"/>
          <w:numId w:val="1003"/>
        </w:numPr>
        <w:pStyle w:val="Compact"/>
      </w:pPr>
      <w:r>
        <w:rPr>
          <w:bCs/>
          <w:b/>
        </w:rPr>
        <w:t xml:space="preserve">Visual Hierarchy:</w:t>
      </w:r>
      <w:r>
        <w:t xml:space="preserve">The title must be bold and engaging, immediately capturing the attention of passersby at academic symposiums.</w:t>
      </w:r>
    </w:p>
    <w:p>
      <w:pPr>
        <w:numPr>
          <w:ilvl w:val="0"/>
          <w:numId w:val="1003"/>
        </w:numPr>
        <w:pStyle w:val="Compact"/>
      </w:pPr>
      <w:r>
        <w:rPr>
          <w:bCs/>
          <w:b/>
        </w:rPr>
        <w:t xml:space="preserve">Data Visualization:</w:t>
      </w:r>
      <w:r>
        <w:t xml:space="preserve">Incorporating high-quality graphs and charts that adhere to international standards while remaining accessible to a diverse audience.</w:t>
      </w:r>
    </w:p>
    <w:p>
      <w:pPr>
        <w:numPr>
          <w:ilvl w:val="0"/>
          <w:numId w:val="1003"/>
        </w:numPr>
        <w:pStyle w:val="Compact"/>
      </w:pPr>
      <w:r>
        <w:rPr>
          <w:bCs/>
          <w:b/>
        </w:rPr>
        <w:t xml:space="preserve">Cultural Sensitivity:</w:t>
      </w:r>
      <w:r>
        <w:t xml:space="preserve">Design elements should respect local customs, avoiding imagery or text that might be considered inappropriate in the conservative yet modern context of Saudi Arabia Riyadh.</w:t>
      </w:r>
    </w:p>
    <w:bookmarkEnd w:id="24"/>
    <w:bookmarkStart w:id="25" w:name="Xff380fd4b713730248444ae34cfa1f201f8a262"/>
    <w:p>
      <w:pPr>
        <w:pStyle w:val="Heading2"/>
      </w:pPr>
      <w:r>
        <w:t xml:space="preserve">5. Challenges and Opportunities for Local Researchers</w:t>
      </w:r>
    </w:p>
    <w:p>
      <w:pPr>
        <w:pStyle w:val="FirstParagraph"/>
      </w:pPr>
      <w:r>
        <w:t xml:space="preserve">While the environment in</w:t>
      </w:r>
    </w:p>
    <w:p>
      <w:pPr>
        <w:pStyle w:val="BodyText"/>
      </w:pPr>
      <w:r>
        <w:rPr>
          <w:bCs/>
          <w:b/>
        </w:rPr>
        <w:t xml:space="preserve">Funding Availability:</w:t>
      </w:r>
    </w:p>
    <w:bookmarkEnd w:id="25"/>
    <w:p>
      <w:pPr>
        <w:pStyle w:val="BodyText"/>
      </w:pPr>
      <w:r>
        <w:t xml:space="preserve">The Kingdom is allocating significant budget to R&amp;D, offering grants that are often more accessible to local researchers than in Western counterparts.</w:t>
      </w:r>
    </w:p>
    <w:p>
      <w:pPr>
        <w:pStyle w:val="BodyText"/>
      </w:pPr>
      <w:r>
        <w:rPr>
          <w:bCs/>
          <w:b/>
        </w:rPr>
        <w:t xml:space="preserve">International Partnerships:</w:t>
      </w:r>
      <w:r>
        <w:t xml:space="preserve">Riyadh hosts numerous global forums, facilitating partnerships between local Academic Researchers and international institutions.</w:t>
      </w:r>
    </w:p>
    <w:bookmarkStart w:id="26" w:name="conclusion-the-path-forward"/>
    <w:p>
      <w:pPr>
        <w:pStyle w:val="Heading2"/>
      </w:pPr>
      <w:r>
        <w:t xml:space="preserve">6. Conclusion: The Path Forward</w:t>
      </w:r>
    </w:p>
    <w:p>
      <w:pPr>
        <w:pStyle w:val="FirstParagraph"/>
      </w:pPr>
      <w:r>
        <w:t xml:space="preserve">In conclusion, the role of the Academic Researcher in Saudi Arabia Riyadh is pivotal to the nation's vision of becoming a global knowledge hub. By embracing interdisciplinary approaches, leveraging digital tools, and maintaining cultural integrity, researchers can drive meaningful progress. This poster presentation serves not only as a summary of current trends but as a call to action for scholars to engage deeply with the unique academic ecosystem of Riyadh. The synergy between traditional values and modern innovation defines the future of research in this region, making it an exciting time for any Academic Researcher to establish their presence here.</w:t>
      </w:r>
    </w:p>
    <w:bookmarkEnd w:id="26"/>
    <w:p>
      <w:pPr>
        <w:pStyle w:val="BodyText"/>
      </w:pPr>
      <w:r>
        <w:t xml:space="preserve">© 2023 Academic Research Forum. All rights reserved. This document is designed for academic dissemination in Saudi Arabia Riyadh.</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Poster Presentation: Advancing Academic Research in Saudi Arabia Riyadh</dc:title>
  <dc:creator/>
  <dc:language>en</dc:language>
  <cp:keywords/>
  <dcterms:created xsi:type="dcterms:W3CDTF">2026-07-29T13:26:36Z</dcterms:created>
  <dcterms:modified xsi:type="dcterms:W3CDTF">2026-07-29T13:26:36Z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