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Researcher</w:t>
      </w:r>
      <w:r>
        <w:t xml:space="preserve"> </w:t>
      </w:r>
      <w:r>
        <w:t xml:space="preserve">Impact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df77ddf8c0eb0d8d86d448a553efe0aee17341b"/>
    <w:p>
      <w:pPr>
        <w:pStyle w:val="Heading1"/>
      </w:pPr>
      <w:r>
        <w:t xml:space="preserve">Bridging Local Context and Global Standards</w:t>
      </w:r>
    </w:p>
    <w:p>
      <w:pPr>
        <w:pStyle w:val="FirstParagraph"/>
      </w:pPr>
      <w:r>
        <w:t xml:space="preserve">An Academic Researcher’s Guide to Effective Poster Presentations in South Africa, Cape Town</w:t>
      </w:r>
    </w:p>
    <w:p>
      <w:pPr>
        <w:pStyle w:val="BodyText"/>
      </w:pPr>
      <w:r>
        <w:t xml:space="preserve">Dr. J. van der Merwe</w:t>
      </w:r>
      <w:r>
        <w:br/>
      </w:r>
      <w:r>
        <w:t xml:space="preserve">Department of Academic Excellence &amp; Regional Studies</w:t>
      </w:r>
      <w:r>
        <w:br/>
      </w:r>
      <w:r>
        <w:t xml:space="preserve">University of Cape Town Context Integration Unit</w:t>
      </w:r>
    </w:p>
    <w:bookmarkStart w:id="20" w:name="X396a2caee2fd734f4ad4bc01d8ff0c12afac59c"/>
    <w:p>
      <w:pPr>
        <w:pStyle w:val="Heading2"/>
      </w:pPr>
      <w:r>
        <w:t xml:space="preserve">1. Introduction: The Role of the Poster Presentation</w:t>
      </w:r>
    </w:p>
    <w:p>
      <w:pPr>
        <w:pStyle w:val="FirstParagraph"/>
      </w:pPr>
      <w:r>
        <w:t xml:space="preserve">In the dynamic landscape of higher education and scientific inquiry, communication is as vital as discovery. For an</w:t>
      </w:r>
      <w:r>
        <w:t xml:space="preserve"> </w:t>
      </w:r>
      <w:r>
        <w:rPr>
          <w:bCs/>
          <w:b/>
        </w:rPr>
        <w:t xml:space="preserve">Academic Researcher</w:t>
      </w:r>
      <w:r>
        <w:t xml:space="preserve">, the ability to synthesize complex data into digestible, engaging formats is a critical skill. Among various dissemination methods, the</w:t>
      </w:r>
      <w:r>
        <w:t xml:space="preserve"> </w:t>
      </w:r>
      <w:r>
        <w:rPr>
          <w:bCs/>
          <w:b/>
        </w:rPr>
        <w:t xml:space="preserve">Poster Presentation academic</w:t>
      </w:r>
      <w:r>
        <w:t xml:space="preserve"> </w:t>
      </w:r>
      <w:r>
        <w:t xml:space="preserve">format remains one of the most effective tools for immediate feedback, networking, and interdisciplinary dialogue.</w:t>
      </w:r>
    </w:p>
    <w:p>
      <w:pPr>
        <w:pStyle w:val="BodyText"/>
      </w:pPr>
      <w:r>
        <w:t xml:space="preserve">This document outlines specific strategies for tailoring these presentations within the unique cultural and academic ecosystem of</w:t>
      </w:r>
      <w:r>
        <w:t xml:space="preserve"> </w:t>
      </w:r>
      <w:r>
        <w:rPr>
          <w:bCs/>
          <w:b/>
        </w:rPr>
        <w:t xml:space="preserve">South Africa Cape Town</w:t>
      </w:r>
      <w:r>
        <w:t xml:space="preserve">. As a global hub for research in climate science, medical humanities, and social justice, Cape Town offers a distinct backdrop that requires nuanced communication strategies.</w:t>
      </w:r>
    </w:p>
    <w:bookmarkEnd w:id="20"/>
    <w:bookmarkStart w:id="21" w:name="defining-the-academic-researcher-persona"/>
    <w:p>
      <w:pPr>
        <w:pStyle w:val="Heading2"/>
      </w:pPr>
      <w:r>
        <w:t xml:space="preserve">2. Defining the Academic Researcher Persona</w:t>
      </w:r>
    </w:p>
    <w:p>
      <w:pPr>
        <w:pStyle w:val="FirstParagraph"/>
      </w:pPr>
      <w:r>
        <w:t xml:space="preserve">The modern</w:t>
      </w:r>
      <w:r>
        <w:t xml:space="preserve"> </w:t>
      </w:r>
      <w:r>
        <w:rPr>
          <w:bCs/>
          <w:b/>
        </w:rPr>
        <w:t xml:space="preserve">Academic Researcher</w:t>
      </w:r>
      <w:r>
        <w:t xml:space="preserve"> </w:t>
      </w:r>
      <w:r>
        <w:t xml:space="preserve">is not merely a data collector but a storyteller and a community stakeholder. In the context of South African academia, researchers are increasingly expected to bridge the gap between theoretical knowledge and practical societal impact.</w:t>
      </w:r>
    </w:p>
    <w:p>
      <w:pPr>
        <w:numPr>
          <w:ilvl w:val="0"/>
          <w:numId w:val="1001"/>
        </w:numPr>
        <w:pStyle w:val="Compact"/>
      </w:pPr>
      <w:r>
        <w:rPr>
          <w:bCs/>
          <w:b/>
        </w:rPr>
        <w:t xml:space="preserve">Rigour and Rigor:</w:t>
      </w:r>
      <w:r>
        <w:t xml:space="preserve"> </w:t>
      </w:r>
      <w:r>
        <w:t xml:space="preserve">The foundation of any poster must be unassailable data integrity. However, visual representation should guide the viewer through the logic without overwhelming them with jargon.</w:t>
      </w:r>
    </w:p>
    <w:p>
      <w:pPr>
        <w:numPr>
          <w:ilvl w:val="0"/>
          <w:numId w:val="1001"/>
        </w:numPr>
        <w:pStyle w:val="Compact"/>
      </w:pPr>
      <w:r>
        <w:rPr>
          <w:bCs/>
          <w:b/>
        </w:rPr>
        <w:t xml:space="preserve">Narrative Arc:</w:t>
      </w:r>
      <w:r>
        <w:t xml:space="preserve"> </w:t>
      </w:r>
      <w:r>
        <w:t xml:space="preserve">A successful poster tells a story. It begins with a problem statement relevant to local or global challenges, moves through methodology and results, and concludes with actionable implications.</w:t>
      </w:r>
    </w:p>
    <w:p>
      <w:pPr>
        <w:numPr>
          <w:ilvl w:val="0"/>
          <w:numId w:val="1001"/>
        </w:numPr>
        <w:pStyle w:val="Compact"/>
      </w:pPr>
      <w:r>
        <w:rPr>
          <w:bCs/>
          <w:b/>
        </w:rPr>
        <w:t xml:space="preserve">Diversity of Thought:</w:t>
      </w:r>
      <w:r>
        <w:t xml:space="preserve"> </w:t>
      </w:r>
      <w:r>
        <w:t xml:space="preserve">Researchers in this region must acknowledge diverse epistemologies. The presentation should reflect an inclusive approach to data collection and interpretation.</w:t>
      </w:r>
    </w:p>
    <w:bookmarkEnd w:id="21"/>
    <w:bookmarkStart w:id="22" w:name="the-south-africa-cape-town-context"/>
    <w:p>
      <w:pPr>
        <w:pStyle w:val="Heading2"/>
      </w:pPr>
      <w:r>
        <w:t xml:space="preserve">3. The South Africa Cape Town Context</w:t>
      </w:r>
    </w:p>
    <w:p>
      <w:pPr>
        <w:pStyle w:val="FirstParagraph"/>
      </w:pPr>
      <w:r>
        <w:t xml:space="preserve">Cape Town is not just a geographic location; it is a cultural and intellectual crucible. When preparing an academic presentation here, the</w:t>
      </w:r>
      <w:r>
        <w:t xml:space="preserve"> </w:t>
      </w:r>
      <w:r>
        <w:rPr>
          <w:bCs/>
          <w:b/>
        </w:rPr>
        <w:t xml:space="preserve">Academic Researcher</w:t>
      </w:r>
      <w:r>
        <w:t xml:space="preserve"> </w:t>
      </w:r>
      <w:r>
        <w:t xml:space="preserve">must account for specific regional characteristics:</w:t>
      </w:r>
    </w:p>
    <w:p>
      <w:pPr>
        <w:numPr>
          <w:ilvl w:val="0"/>
          <w:numId w:val="1002"/>
        </w:numPr>
        <w:pStyle w:val="Compact"/>
      </w:pPr>
      <w:r>
        <w:rPr>
          <w:bCs/>
          <w:b/>
        </w:rPr>
        <w:t xml:space="preserve">Multilingualism:</w:t>
      </w:r>
      <w:r>
        <w:t xml:space="preserve"> </w:t>
      </w:r>
      <w:r>
        <w:t xml:space="preserve">While English is the primary language of academic discourse in South Africa, acknowledging indigenous languages (such as isiXhosa) in titles or acknowledgments can foster inclusivity and community engagement.</w:t>
      </w:r>
    </w:p>
    <w:p>
      <w:pPr>
        <w:numPr>
          <w:ilvl w:val="0"/>
          <w:numId w:val="1002"/>
        </w:numPr>
        <w:pStyle w:val="Compact"/>
      </w:pPr>
      <w:r>
        <w:rPr>
          <w:bCs/>
          <w:b/>
        </w:rPr>
        <w:t xml:space="preserve">Socio-Economic Sensitivity:</w:t>
      </w:r>
      <w:r>
        <w:t xml:space="preserve"> </w:t>
      </w:r>
      <w:r>
        <w:t xml:space="preserve">Cape Town exhibits stark contrasts between wealth and poverty. Research presentations, particularly those involving social sciences or public health, must be sensitive to these disparities. The language used should avoid colonial overtones and prioritize equitable terminology.</w:t>
      </w:r>
    </w:p>
    <w:p>
      <w:pPr>
        <w:numPr>
          <w:ilvl w:val="0"/>
          <w:numId w:val="1002"/>
        </w:numPr>
        <w:pStyle w:val="Compact"/>
      </w:pPr>
      <w:r>
        <w:rPr>
          <w:bCs/>
          <w:b/>
        </w:rPr>
        <w:t xml:space="preserve">Eco-Consciousness:</w:t>
      </w:r>
      <w:r>
        <w:t xml:space="preserve"> </w:t>
      </w:r>
      <w:r>
        <w:t xml:space="preserve">As a city grappling with water scarcity and biodiversity loss (notably through the Cape Floristic Region), research related to sustainability is highly prized. Visuals that highlight environmental stewardship resonate strongly here.</w:t>
      </w:r>
    </w:p>
    <w:p>
      <w:pPr>
        <w:pStyle w:val="FirstParagraph"/>
      </w:pPr>
      <w:r>
        <w:t xml:space="preserve">The venue itself often dictates the tone. Whether presenting at the University of Cape Town, Stellenbosch University, or a conference center in the CBD, understanding the institutional heritage adds depth to one's scholarly identity.</w:t>
      </w:r>
    </w:p>
    <w:bookmarkEnd w:id="22"/>
    <w:bookmarkStart w:id="25" w:name="designing-effective-academic-posters"/>
    <w:p>
      <w:pPr>
        <w:pStyle w:val="Heading2"/>
      </w:pPr>
      <w:r>
        <w:t xml:space="preserve">4. Designing Effective Academic Posters</w:t>
      </w:r>
    </w:p>
    <w:p>
      <w:pPr>
        <w:pStyle w:val="FirstParagraph"/>
      </w:pPr>
      <w:r>
        <w:t xml:space="preserve">The term</w:t>
      </w:r>
      <w:r>
        <w:t xml:space="preserve"> </w:t>
      </w:r>
      <w:r>
        <w:rPr>
          <w:bCs/>
          <w:b/>
        </w:rPr>
        <w:t xml:space="preserve">"Poster Presentation academic"</w:t>
      </w:r>
      <w:r>
        <w:t xml:space="preserve"> </w:t>
      </w:r>
      <w:r>
        <w:t xml:space="preserve">implies a standard of excellence that transcends mere decoration. It requires clarity, hierarchy, and visual coherence.</w:t>
      </w:r>
    </w:p>
    <w:bookmarkStart w:id="23" w:name="a.-structure-and-layout"/>
    <w:p>
      <w:pPr>
        <w:pStyle w:val="Heading3"/>
      </w:pPr>
      <w:r>
        <w:t xml:space="preserve">A. Structure and Layout</w:t>
      </w:r>
    </w:p>
    <w:p>
      <w:pPr>
        <w:pStyle w:val="FirstParagraph"/>
      </w:pPr>
      <w:r>
        <w:t xml:space="preserve">A standard academic poster follows the IMRAD structure (Introduction, Methods, Results, And Discussion). However:</w:t>
      </w:r>
    </w:p>
    <w:p>
      <w:pPr>
        <w:numPr>
          <w:ilvl w:val="0"/>
          <w:numId w:val="1003"/>
        </w:numPr>
        <w:pStyle w:val="Compact"/>
      </w:pPr>
      <w:r>
        <w:rPr>
          <w:bCs/>
          <w:b/>
        </w:rPr>
        <w:t xml:space="preserve">The Hook:</w:t>
      </w:r>
      <w:r>
        <w:t xml:space="preserve"> </w:t>
      </w:r>
      <w:r>
        <w:t xml:space="preserve">The top third of the poster is prime real estate. It should contain a compelling title and a clear thesis statement relevant to local challenges in South Africa Cape Town.</w:t>
      </w:r>
    </w:p>
    <w:p>
      <w:pPr>
        <w:numPr>
          <w:ilvl w:val="0"/>
          <w:numId w:val="1003"/>
        </w:numPr>
        <w:pStyle w:val="Compact"/>
      </w:pPr>
      <w:r>
        <w:rPr>
          <w:bCs/>
          <w:b/>
        </w:rPr>
        <w:t xml:space="preserve">The Flow:</w:t>
      </w:r>
      <w:r>
        <w:t xml:space="preserve"> </w:t>
      </w:r>
      <w:r>
        <w:t xml:space="preserve">Use arrows or numbered boxes to guide the eye from left to right, top to bottom. This ensures that even brief interactions last longer, allowing for deeper conversation.</w:t>
      </w:r>
    </w:p>
    <w:bookmarkEnd w:id="23"/>
    <w:bookmarkStart w:id="24" w:name="b.-visual-elements"/>
    <w:p>
      <w:pPr>
        <w:pStyle w:val="Heading3"/>
      </w:pPr>
      <w:r>
        <w:t xml:space="preserve">B. Visual Elements</w:t>
      </w:r>
    </w:p>
    <w:p>
      <w:pPr>
        <w:pStyle w:val="FirstParagraph"/>
      </w:pPr>
      <w:r>
        <w:t xml:space="preserve">Data visualization is paramount. Graphs and charts should be high-resolution (minimum 300 DPI). Use colour palettes that are accessible to those with colour blindness, a best practice in inclusive design.</w:t>
      </w:r>
    </w:p>
    <w:p>
      <w:pPr>
        <w:pStyle w:val="BodyText"/>
      </w:pPr>
      <w:r>
        <w:rPr>
          <w:bCs/>
          <w:b/>
        </w:rPr>
        <w:t xml:space="preserve">Cultural Integration:</w:t>
      </w:r>
      <w:r>
        <w:t xml:space="preserve"> </w:t>
      </w:r>
      <w:r>
        <w:t xml:space="preserve">Incorporating subtle visual motifs from the Cape Dutch heritage or contemporary South African art can make the poster visually distinct and culturally grounded, provided it does not detract from scientific clarity.</w:t>
      </w:r>
    </w:p>
    <w:bookmarkEnd w:id="24"/>
    <w:bookmarkEnd w:id="25"/>
    <w:bookmarkStart w:id="26" w:name="networking-and-engagement-in-cape-town"/>
    <w:p>
      <w:pPr>
        <w:pStyle w:val="Heading2"/>
      </w:pPr>
      <w:r>
        <w:t xml:space="preserve">5. Networking and Engagement in Cape Town</w:t>
      </w:r>
    </w:p>
    <w:p>
      <w:pPr>
        <w:pStyle w:val="FirstParagraph"/>
      </w:pPr>
      <w:r>
        <w:t xml:space="preserve">A poster presentation is a live interaction. In</w:t>
      </w:r>
      <w:r>
        <w:t xml:space="preserve"> </w:t>
      </w:r>
      <w:r>
        <w:rPr>
          <w:bCs/>
          <w:b/>
        </w:rPr>
        <w:t xml:space="preserve">South Africa Cape Town</w:t>
      </w:r>
      <w:r>
        <w:t xml:space="preserve">, networking is often informal yet deeply professional.</w:t>
      </w:r>
    </w:p>
    <w:p>
      <w:pPr>
        <w:numPr>
          <w:ilvl w:val="0"/>
          <w:numId w:val="1004"/>
        </w:numPr>
        <w:pStyle w:val="Compact"/>
      </w:pPr>
      <w:r>
        <w:rPr>
          <w:bCs/>
          <w:b/>
        </w:rPr>
        <w:t xml:space="preserve">The Elevator Pitch:</w:t>
      </w:r>
    </w:p>
    <w:p>
      <w:pPr>
        <w:numPr>
          <w:ilvl w:val="0"/>
          <w:numId w:val="1004"/>
        </w:numPr>
        <w:pStyle w:val="Compact"/>
      </w:pPr>
      <w:r>
        <w:rPr>
          <w:bCs/>
          <w:b/>
        </w:rPr>
        <w:t xml:space="preserve">Cross-Disciplinary Dialogue:</w:t>
      </w:r>
      <w:r>
        <w:t xml:space="preserve">Cape Town’s academic scene is collaborative. A researcher focusing on data science should be ready to explain their findings in terms understandable by a public health official or a policy maker.</w:t>
      </w:r>
    </w:p>
    <w:p>
      <w:pPr>
        <w:numPr>
          <w:ilvl w:val="0"/>
          <w:numId w:val="1004"/>
        </w:numPr>
        <w:pStyle w:val="Compact"/>
      </w:pPr>
      <w:r>
        <w:rPr>
          <w:bCs/>
          <w:b/>
        </w:rPr>
        <w:t xml:space="preserve">Feedback Culture:</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Academic Researcher</w:t>
      </w:r>
      <w:r>
        <w:t xml:space="preserve"> </w:t>
      </w:r>
      <w:r>
        <w:t xml:space="preserve">is evolving rapidly. It is no longer sufficient to publish in journals and wait for citations. Active dissemination through formats like the</w:t>
      </w:r>
      <w:r>
        <w:t xml:space="preserve"> </w:t>
      </w:r>
      <w:r>
        <w:rPr>
          <w:bCs/>
          <w:b/>
        </w:rPr>
        <w:t xml:space="preserve">Poster Presentation academic</w:t>
      </w:r>
      <w:r>
        <w:t xml:space="preserve"> </w:t>
      </w:r>
      <w:r>
        <w:t xml:space="preserve">ensures that research has immediate impact.</w:t>
      </w:r>
    </w:p>
    <w:p>
      <w:pPr>
        <w:pStyle w:val="BodyText"/>
      </w:pPr>
      <w:r>
        <w:t xml:space="preserve">In</w:t>
      </w:r>
      <w:r>
        <w:t xml:space="preserve"> </w:t>
      </w:r>
      <w:r>
        <w:rPr>
          <w:bCs/>
          <w:b/>
        </w:rPr>
        <w:t xml:space="preserve">South Africa Cape Town</w:t>
      </w:r>
      <w:r>
        <w:t xml:space="preserve">, this impact is amplified by the city’s unique position as a beacon of diversity, resilience, and innovation. By adhering to rigorous design standards while remaining sensitive to local cultural and socio-economic contexts, researchers can create posters that are not only informative but also inspiring.</w:t>
      </w:r>
    </w:p>
    <w:p>
      <w:pPr>
        <w:pStyle w:val="BodyText"/>
      </w:pPr>
      <w:r>
        <w:t xml:space="preserve">We encourage all scholars in the region to view their posters as bridges—connecting data with society, theory with practice, and the local community with the global academic stage.</w:t>
      </w:r>
    </w:p>
    <w:bookmarkEnd w:id="27"/>
    <w:bookmarkStart w:id="28" w:name="key-takeaways"/>
    <w:p>
      <w:pPr>
        <w:pStyle w:val="Heading2"/>
      </w:pPr>
      <w:r>
        <w:t xml:space="preserve">7. Key Takeaways</w:t>
      </w:r>
    </w:p>
    <w:p>
      <w:pPr>
        <w:numPr>
          <w:ilvl w:val="0"/>
          <w:numId w:val="1005"/>
        </w:numPr>
        <w:pStyle w:val="Compact"/>
      </w:pPr>
      <w:r>
        <w:rPr>
          <w:bCs/>
          <w:b/>
        </w:rPr>
        <w:t xml:space="preserve">Simplify:</w:t>
      </w:r>
    </w:p>
    <w:p>
      <w:pPr>
        <w:numPr>
          <w:ilvl w:val="0"/>
          <w:numId w:val="1005"/>
        </w:numPr>
        <w:pStyle w:val="Compact"/>
      </w:pPr>
    </w:p>
    <w:p>
      <w:pPr>
        <w:numPr>
          <w:ilvl w:val="0"/>
          <w:numId w:val="1005"/>
        </w:numPr>
        <w:pStyle w:val="Compact"/>
      </w:pPr>
      <w:r>
        <w:rPr>
          <w:bCs/>
          <w:b/>
        </w:rPr>
        <w:t xml:space="preserve">Engage:</w:t>
      </w:r>
    </w:p>
    <w:p>
      <w:pPr>
        <w:pStyle w:val="FirstParagraph"/>
      </w:pPr>
      <w:r>
        <w:rPr>
          <w:iCs/>
          <w:i/>
        </w:rPr>
        <w:t xml:space="preserve">© 2023 Academic Researcher Guidelines. Designed for use in South Africa Cape Town academic circles.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Researcher Impact in South Africa Cape Town</dc:title>
  <dc:creator/>
  <dc:language>en</dc:language>
  <cp:keywords/>
  <dcterms:created xsi:type="dcterms:W3CDTF">2026-07-29T21:33:10Z</dcterms:created>
  <dcterms:modified xsi:type="dcterms:W3CDTF">2026-07-29T21:33:10Z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