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Bridging Tradition and Innovation: The Evolving Role of the Academic Researcher in the Knowledge Economy of Abu Dhabi, United Arab Emirates</w:t>
      </w:r>
    </w:p>
    <w:p>
      <w:pPr>
        <w:pStyle w:val="BodyText"/>
      </w:pPr>
      <w:r>
        <w:t xml:space="preserve">A Strategic Analysis of Research Ecosystems, Institutional Mandates, and Global Impact</w:t>
      </w:r>
    </w:p>
    <w:p>
      <w:pPr>
        <w:pStyle w:val="BodyText"/>
      </w:pPr>
      <w:r>
        <w:t xml:space="preserve">Presented by: Dr. [Name Redacted], Lead Academic Researcher</w:t>
      </w:r>
    </w:p>
    <w:p>
      <w:pPr>
        <w:pStyle w:val="BodyText"/>
      </w:pPr>
      <w:r>
        <w:t xml:space="preserve">Affiliated with Leading Institution in Abu Dhabi, United Arab Emirates | Date: 2023-2024 Cycle</w:t>
      </w:r>
    </w:p>
    <w:bookmarkStart w:id="20" w:name="introduction-strategic-context"/>
    <w:p>
      <w:pPr>
        <w:pStyle w:val="Heading2"/>
      </w:pPr>
      <w:r>
        <w:t xml:space="preserve">1. Introduction &amp; Strategic Context</w:t>
      </w:r>
    </w:p>
    <w:p>
      <w:pPr>
        <w:pStyle w:val="FirstParagraph"/>
      </w:pPr>
      <w:r>
        <w:t xml:space="preserve">The landscape of higher education and scientific inquiry in the Middle East has undergone a radical transformation over the past two decades. At the heart of this transformation lies Abu Dhabi, United Arab Emirates, which has positioned itself not merely as an economic hub driven by hydrocarbons, but as a global center for intellectual capital and sustainable development. This poster presentation explores the critical function of the</w:t>
      </w:r>
      <w:r>
        <w:t xml:space="preserve"> </w:t>
      </w:r>
      <w:r>
        <w:rPr>
          <w:bCs/>
          <w:b/>
        </w:rPr>
        <w:t xml:space="preserve">Academic Researcher</w:t>
      </w:r>
      <w:r>
        <w:t xml:space="preserve"> </w:t>
      </w:r>
      <w:r>
        <w:t xml:space="preserve">within this specific geopolitical and cultural context.</w:t>
      </w:r>
    </w:p>
    <w:p>
      <w:pPr>
        <w:pStyle w:val="BodyText"/>
      </w:pPr>
      <w:r>
        <w:rPr>
          <w:bCs/>
          <w:b/>
        </w:rPr>
        <w:t xml:space="preserve">Core Thesis:</w:t>
      </w:r>
      <w:r>
        <w:t xml:space="preserve"> </w:t>
      </w:r>
      <w:r>
        <w:t xml:space="preserve">The modern Academic Researcher in Abu Dhabi is no longer just a disseminator of knowledge but a strategic architect of national policy, sustainability goals, and international collaboration frameworks.</w:t>
      </w:r>
    </w:p>
    <w:p>
      <w:pPr>
        <w:pStyle w:val="BodyText"/>
      </w:pPr>
      <w:r>
        <w:t xml:space="preserve">The United Arab Emirates has launched ambitious visions, including the "UAE Vision 2031" and the more recent "Abu Dhabi Economic Vision 2030." These frameworks explicitly demand rigorous empirical evidence to guide policy decisions. Consequently, the role of the Academic Researcher has expanded from pure theoretical exploration to applied sociological, economic, and technological research that directly influences national outcomes.</w:t>
      </w:r>
    </w:p>
    <w:bookmarkEnd w:id="20"/>
    <w:bookmarkStart w:id="21" w:name="the-abu-dhabi-research-ecosystem"/>
    <w:p>
      <w:pPr>
        <w:pStyle w:val="Heading2"/>
      </w:pPr>
      <w:r>
        <w:t xml:space="preserve">2. The Abu Dhabi Research Ecosystem</w:t>
      </w:r>
    </w:p>
    <w:p>
      <w:pPr>
        <w:pStyle w:val="FirstParagraph"/>
      </w:pPr>
      <w:r>
        <w:t xml:space="preserve">To understand the position of the Academic Researcher in Abu Dhabi, one must analyze the unique tripartite ecosystem that supports them:</w:t>
      </w:r>
    </w:p>
    <w:p>
      <w:pPr>
        <w:numPr>
          <w:ilvl w:val="0"/>
          <w:numId w:val="1001"/>
        </w:numPr>
        <w:pStyle w:val="Compact"/>
      </w:pPr>
      <w:r>
        <w:rPr>
          <w:bCs/>
          <w:b/>
        </w:rPr>
        <w:t xml:space="preserve">Institutional Support:</w:t>
      </w:r>
      <w:r>
        <w:t xml:space="preserve"> </w:t>
      </w:r>
      <w:r>
        <w:t xml:space="preserve">Institutions such as Khalifa University, New York University Abu Dhabi (NYUAD), and the Masdar Institute provide world-class infrastructure. These institutions offer substantial grants, state-of-the-art laboratories, and interdisciplinary collaboration spaces that empower researchers to tackle complex regional challenges.</w:t>
      </w:r>
    </w:p>
    <w:p>
      <w:pPr>
        <w:numPr>
          <w:ilvl w:val="0"/>
          <w:numId w:val="1001"/>
        </w:numPr>
        <w:pStyle w:val="Compact"/>
      </w:pPr>
      <w:r>
        <w:rPr>
          <w:bCs/>
          <w:b/>
        </w:rPr>
        <w:t xml:space="preserve">Funding Mechanisms:</w:t>
      </w:r>
      <w:r>
        <w:t xml:space="preserve"> </w:t>
      </w:r>
      <w:r>
        <w:t xml:space="preserve">The presence of entities like the Department of Economic Development (DED) and various federal research funds ensures that Academic Researchers have access to robust financial backing. This funding is increasingly targeted towards innovation in energy, artificial intelligence, and biotechnology.</w:t>
      </w:r>
    </w:p>
    <w:p>
      <w:pPr>
        <w:numPr>
          <w:ilvl w:val="0"/>
          <w:numId w:val="1001"/>
        </w:numPr>
        <w:pStyle w:val="Compact"/>
      </w:pPr>
      <w:r>
        <w:rPr>
          <w:bCs/>
          <w:b/>
        </w:rPr>
        <w:t xml:space="preserve">Cultural Integration:</w:t>
      </w:r>
      <w:r>
        <w:t xml:space="preserve"> </w:t>
      </w:r>
      <w:r>
        <w:t xml:space="preserve">A distinct characteristic of conducting an Academic Poster Presentation or publishing research in Abu Dhabi is the integration of local cultural values with global academic standards. Researchers must navigate a multicultural environment where indigenous knowledge systems complement Western scientific methodologies.</w:t>
      </w:r>
    </w:p>
    <w:bookmarkEnd w:id="21"/>
    <w:bookmarkStart w:id="25" w:name="key-areas-of-investigative-focus"/>
    <w:p>
      <w:pPr>
        <w:pStyle w:val="Heading2"/>
      </w:pPr>
      <w:r>
        <w:t xml:space="preserve">3. Key Areas of Investigative Focus</w:t>
      </w:r>
    </w:p>
    <w:p>
      <w:pPr>
        <w:pStyle w:val="FirstParagraph"/>
      </w:pPr>
      <w:r>
        <w:t xml:space="preserve">The poster highlights three primary domains where Academic Researcher activity in Abu Dhabi is most intense and impactful:</w:t>
      </w:r>
    </w:p>
    <w:bookmarkStart w:id="22" w:name="X7055f165b69495569b171d3ab5e27ba848142c7"/>
    <w:p>
      <w:pPr>
        <w:pStyle w:val="Heading3"/>
      </w:pPr>
      <w:r>
        <w:t xml:space="preserve">A. Sustainability and Environmental Science</w:t>
      </w:r>
    </w:p>
    <w:p>
      <w:pPr>
        <w:pStyle w:val="FirstParagraph"/>
      </w:pPr>
      <w:r>
        <w:t xml:space="preserve">Given the arid climate, research into water desalination efficiency, solar energy storage, and sustainable urban planning is paramount. Researchers in Abu Dhabi are leading global initiatives to mitigate the effects of climate change on Gulf regions.</w:t>
      </w:r>
    </w:p>
    <w:bookmarkEnd w:id="22"/>
    <w:bookmarkStart w:id="23" w:name="X67336718bd548fca654d44115e4881870b60252"/>
    <w:p>
      <w:pPr>
        <w:pStyle w:val="Heading3"/>
      </w:pPr>
      <w:r>
        <w:t xml:space="preserve">B. Artificial Intelligence and Digital Transformation</w:t>
      </w:r>
    </w:p>
    <w:p>
      <w:pPr>
        <w:pStyle w:val="FirstParagraph"/>
      </w:pPr>
      <w:r>
        <w:t xml:space="preserve">With the appointment of a Minister of State for AI by the UAE government, Academic Researchers are at the forefront of developing ethical AI frameworks. Abu Dhabi serves as a testbed for autonomous systems and smart city technologies, requiring deep academic inquiry into data privacy and algorithmic bias.</w:t>
      </w:r>
    </w:p>
    <w:bookmarkEnd w:id="23"/>
    <w:bookmarkStart w:id="24" w:name="c.-social-sciences-and-cultural-heritage"/>
    <w:p>
      <w:pPr>
        <w:pStyle w:val="Heading3"/>
      </w:pPr>
      <w:r>
        <w:t xml:space="preserve">C. Social Sciences and Cultural Heritage</w:t>
      </w:r>
    </w:p>
    <w:p>
      <w:pPr>
        <w:pStyle w:val="FirstParagraph"/>
      </w:pPr>
      <w:r>
        <w:t xml:space="preserve">The preservation of Emirati heritage while fostering social cohesion among a diverse expatriate population is a critical area of study. Academic Researchers contribute to understanding the sociological dynamics of Abu Dhabi, influencing education policies and community engagement strategies.</w:t>
      </w:r>
    </w:p>
    <w:bookmarkEnd w:id="24"/>
    <w:bookmarkEnd w:id="25"/>
    <w:bookmarkStart w:id="26" w:name="methodological-approach-in-posters"/>
    <w:p>
      <w:pPr>
        <w:pStyle w:val="Heading2"/>
      </w:pPr>
      <w:r>
        <w:t xml:space="preserve">4. Methodological Approach in Posters</w:t>
      </w:r>
    </w:p>
    <w:p>
      <w:pPr>
        <w:pStyle w:val="FirstParagraph"/>
      </w:pPr>
      <w:r>
        <w:t xml:space="preserve">In the context of an Academic Poster Presentation, visual communication is as vital as written content. In Abu Dhabi’s academic circles, posters serve as dynamic networking tools during conferences such as those hosted by the Abu Dhabi National Convention Centre (ADNOC) or university symposia. Effective presentations in this region adhere to strict guidelines:</w:t>
      </w:r>
    </w:p>
    <w:p>
      <w:pPr>
        <w:numPr>
          <w:ilvl w:val="0"/>
          <w:numId w:val="1002"/>
        </w:numPr>
        <w:pStyle w:val="Compact"/>
      </w:pPr>
      <w:r>
        <w:rPr>
          <w:bCs/>
          <w:b/>
        </w:rPr>
        <w:t xml:space="preserve">Data Visualization:</w:t>
      </w:r>
      <w:r>
        <w:t xml:space="preserve"> </w:t>
      </w:r>
      <w:r>
        <w:t xml:space="preserve">High-impact graphs and infographics that transcend language barriers, acknowledging the international nature of researchers in UAE.</w:t>
      </w:r>
    </w:p>
    <w:p>
      <w:pPr>
        <w:numPr>
          <w:ilvl w:val="0"/>
          <w:numId w:val="1002"/>
        </w:numPr>
        <w:pStyle w:val="Compact"/>
      </w:pPr>
      <w:r>
        <w:t xml:space="preserve"> While English is the primary language of science, incorporating Arabic headings or key terms respects local academic traditions and enhances audience engagement.</w:t>
      </w:r>
    </w:p>
    <w:p>
      <w:pPr>
        <w:numPr>
          <w:ilvl w:val="0"/>
          <w:numId w:val="1002"/>
        </w:numPr>
        <w:pStyle w:val="Compact"/>
      </w:pPr>
      <w:r>
        <w:rPr>
          <w:bCs/>
          <w:b/>
        </w:rPr>
        <w:t xml:space="preserve">Clean Layout:</w:t>
      </w:r>
      <w:r>
        <w:t xml:space="preserve"> </w:t>
      </w:r>
      <w:r>
        <w:t xml:space="preserve">Adhering to the "less is more" principle ensures that the core message of the Academic Researcher’s findings is accessible to diverse stakeholders, including government officials and industry partners.</w:t>
      </w:r>
    </w:p>
    <w:bookmarkEnd w:id="26"/>
    <w:bookmarkStart w:id="27" w:name="challenges-faced-by-researchers"/>
    <w:p>
      <w:pPr>
        <w:pStyle w:val="Heading2"/>
      </w:pPr>
      <w:r>
        <w:t xml:space="preserve">5. Challenges Faced by Researchers</w:t>
      </w:r>
    </w:p>
    <w:p>
      <w:pPr>
        <w:numPr>
          <w:ilvl w:val="0"/>
          <w:numId w:val="1003"/>
        </w:numPr>
        <w:pStyle w:val="Compact"/>
      </w:pPr>
      <w:r>
        <w:rPr>
          <w:bCs/>
          <w:b/>
        </w:rPr>
        <w:t xml:space="preserve">Cultural Nuance:</w:t>
      </w:r>
      <w:r>
        <w:t xml:space="preserve">Navigating the balance between academic freedom and cultural sensitivity.</w:t>
      </w:r>
    </w:p>
    <w:p>
      <w:pPr>
        <w:numPr>
          <w:ilvl w:val="0"/>
          <w:numId w:val="1003"/>
        </w:numPr>
        <w:pStyle w:val="Compact"/>
      </w:pPr>
      <w:r>
        <w:rPr>
          <w:bCs/>
          <w:b/>
        </w:rPr>
        <w:t xml:space="preserve">Talent Retention: </w:t>
      </w:r>
      <w:r>
        <w:t xml:space="preserve">Maintaining a competitive environment to retain top-tier local and international talent against global rivals.</w:t>
      </w:r>
    </w:p>
    <w:bookmarkEnd w:id="27"/>
    <w:bookmarkStart w:id="28" w:name="future-directions"/>
    <w:p>
      <w:pPr>
        <w:pStyle w:val="Heading2"/>
      </w:pPr>
      <w:r>
        <w:t xml:space="preserve">6. Future Directions</w:t>
      </w:r>
    </w:p>
    <w:p>
      <w:pPr>
        <w:pStyle w:val="FirstParagraph"/>
      </w:pPr>
      <w:r>
        <w:t xml:space="preserve">The trajectory for Academic Research in Abu Dhabi points toward greater autonomy and self-sufficiency. The goal is to transition from importing knowledge to exporting innovation. We anticipate increased collaboration between the public sector, private industry, and academic institutions—a model often referred to as the "Quadruple Helix" approach.</w:t>
      </w:r>
    </w:p>
    <w:bookmarkEnd w:id="28"/>
    <w:bookmarkStart w:id="29" w:name="conclusion"/>
    <w:p>
      <w:pPr>
        <w:pStyle w:val="Heading2"/>
      </w:pPr>
      <w:r>
        <w:t xml:space="preserve">7. Conclusion</w:t>
      </w:r>
    </w:p>
    <w:p>
      <w:pPr>
        <w:pStyle w:val="FirstParagraph"/>
      </w:pPr>
      <w:r>
        <w:t xml:space="preserve">In conclusion, the Academic Researcher in Abu Dhabi is a pivotal agent of change. Supported by visionary leadership in the United Arab Emirates, these professionals are shaping a future defined by sustainability, technological prowess, and cultural preservation. The poster presentation serves not only as a record of current achievements but as a manifesto for continued intellectual excellence.</w:t>
      </w:r>
    </w:p>
    <w:p>
      <w:pPr>
        <w:pStyle w:val="BodyText"/>
      </w:pPr>
      <w:r>
        <w:rPr>
          <w:bCs/>
          <w:b/>
        </w:rPr>
        <w:t xml:space="preserve">Final Thought:</w:t>
      </w:r>
      <w:r>
        <w:t xml:space="preserve"> </w:t>
      </w:r>
      <w:r>
        <w:t xml:space="preserve">By strengthening the role of the Academic Researcher, Abu Dhabi is securing its legacy not just as an economic power, but as a beacon of global knowledge.</w:t>
      </w:r>
    </w:p>
    <w:bookmarkEnd w:id="29"/>
    <w:p>
      <w:pPr>
        <w:pStyle w:val="BodyText"/>
      </w:pPr>
      <w:r>
        <w:t xml:space="preserve">© 2024 Academic Researcher Poster Presentation Series | United Arab Emirates Abu Dhabi</w:t>
      </w:r>
    </w:p>
    <w:p>
      <w:pPr>
        <w:pStyle w:val="BodyText"/>
      </w:pPr>
      <w:r>
        <w:t xml:space="preserve">Contact: research.info@institution.ae | www.research-abudhabi.ae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United Arab Emirates Abu Dhabi</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