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20" w:name="X785fe2e9f60f208b6afa54c81e7258239964307"/>
    <w:p>
      <w:pPr>
        <w:pStyle w:val="Heading1"/>
      </w:pPr>
      <w:r>
        <w:t xml:space="preserve">Poster Presentation</w:t>
      </w:r>
      <w:r>
        <w:t xml:space="preserve">: The Evolution of the</w:t>
      </w:r>
      <w:r>
        <w:t xml:space="preserve"> </w:t>
      </w:r>
      <w:r>
        <w:t xml:space="preserve">Academic Researcher</w:t>
      </w:r>
      <w:r>
        <w:t xml:space="preserve"> </w:t>
      </w:r>
      <w:r>
        <w:t xml:space="preserve">in the Modern University Landscape: A Case Study of</w:t>
      </w:r>
      <w:r>
        <w:t xml:space="preserve"> </w:t>
      </w:r>
      <w:r>
        <w:rPr>
          <w:bCs/>
          <w:b/>
        </w:rPr>
        <w:t xml:space="preserve">United Kingdom Manchester</w:t>
      </w:r>
    </w:p>
    <w:p>
      <w:pPr>
        <w:pStyle w:val="FirstParagraph"/>
      </w:pPr>
      <w:r>
        <w:br/>
      </w:r>
      <w:r>
        <w:rPr>
          <w:bCs/>
          <w:b/>
        </w:rPr>
        <w:t xml:space="preserve">Presentation Context:</w:t>
      </w:r>
      <w:r>
        <w:t xml:space="preserve"> </w:t>
      </w:r>
      <w:r>
        <w:t xml:space="preserve">International Symposium on Higher Education Reform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Sociology and Planning,</w:t>
      </w:r>
      <w:r>
        <w:t xml:space="preserve"> </w:t>
      </w:r>
      <w:r>
        <w:t xml:space="preserve">United Kingdom Manchester</w:t>
      </w:r>
      <w:r>
        <w:br/>
      </w:r>
    </w:p>
    <w:bookmarkEnd w:id="20"/>
    <w:bookmarkStart w:id="21" w:name="abstract-introduction"/>
    <w:p>
      <w:pPr>
        <w:pStyle w:val="Heading2"/>
      </w:pPr>
      <w:r>
        <w:t xml:space="preserve">Abstract &amp; Introduction</w:t>
      </w:r>
    </w:p>
    <w:p>
      <w:pPr>
        <w:pStyle w:val="FirstParagraph"/>
      </w:pPr>
      <w:r>
        <w:t xml:space="preserve">This document serves as a comprehensive text body for a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, designed to visually and intellectually engage audiences regarding the shifting paradigms of scholarly work. The central focus is on the role of the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within the specific geopolitical and institutional context of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 As higher education institutions across Europe face unprecedented pressure to balance traditional knowledge production with industrial application, understanding the localized dynamics of</w:t>
      </w:r>
      <w:r>
        <w:t xml:space="preserve"> </w:t>
      </w:r>
      <w:r>
        <w:rPr>
          <w:iCs/>
          <w:i/>
        </w:rPr>
        <w:t xml:space="preserve">Manchester</w:t>
      </w:r>
      <w:r>
        <w:t xml:space="preserve"> </w:t>
      </w:r>
      <w:r>
        <w:t xml:space="preserve">provides a critical microcosm for broader national trends. This poster explores how the identity of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has transformed from a purely theoretical pursuit to a multidisciplinary engagement with society, economics, and policy.</w:t>
      </w:r>
    </w:p>
    <w:bookmarkEnd w:id="21"/>
    <w:bookmarkStart w:id="22" w:name="Xaecf9bf5b04591d04f6ea4e05695372a6d7f2d0"/>
    <w:p>
      <w:pPr>
        <w:pStyle w:val="Heading2"/>
      </w:pPr>
      <w:r>
        <w:t xml:space="preserve">The Manchester Context: A Hub of Innovation</w:t>
      </w:r>
    </w:p>
    <w:p>
      <w:pPr>
        <w:pStyle w:val="FirstParagraph"/>
      </w:pPr>
      <w:r>
        <w:t xml:space="preserve">To understand the modern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, one must first contextualize their environment.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is not merely a geographical location; it is historically significant as the birthplace of industrial sociology and modern urban studies. In recent decades, Manchester has reinvented itself as a leading European city for innovation, digital technology, and creative arts.</w:t>
      </w:r>
    </w:p>
    <w:p>
      <w:pPr>
        <w:pStyle w:val="BodyText"/>
      </w:pPr>
      <w:r>
        <w:t xml:space="preserve">In this setting, the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operates within a vibrant ecosystem characterized by: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Syndicate City Collaboration:</w:t>
      </w:r>
      <w:r>
        <w:t xml:space="preserve">The integration of local industry with university-led research. For an</w:t>
      </w:r>
      <w:r>
        <w:t xml:space="preserve"> </w:t>
      </w:r>
      <w:r>
        <w:rPr>
          <w:iCs/>
          <w:i/>
        </w:rPr>
        <w:t xml:space="preserve">Academic Researcher</w:t>
      </w:r>
      <w:r>
        <w:t xml:space="preserve">, this means bridging the gap between laboratory findings and market viability.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Multidisciplinary Institutes:</w:t>
      </w:r>
      <w:r>
        <w:t xml:space="preserve">The rise of centers such as the Alan Turing Institute Manchester nodes, requiring researchers to speak multiple "languages" beyond their specific discipline.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Capital:</w:t>
      </w:r>
      <w:r>
        <w:t xml:space="preserve">The role of arts and humanities in defining the city's brand, challenging the stereotype that only STEM fields drive value.</w:t>
      </w:r>
    </w:p>
    <w:p>
      <w:pPr>
        <w:pStyle w:val="FirstParagraph"/>
      </w:pPr>
      <w:r>
        <w:t xml:space="preserve">This poster argues that the</w:t>
      </w:r>
      <w:r>
        <w:t xml:space="preserve"> </w:t>
      </w:r>
      <w:r>
        <w:rPr>
          <w:iCs/>
          <w:i/>
        </w:rPr>
        <w:t xml:space="preserve">Academic Researcher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is uniquely positioned to act as a "boundary spanner," translating complex data into actionable community insights. The visual layout of this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highlights these intersections through data visualization and thematic mapping.</w:t>
      </w:r>
    </w:p>
    <w:bookmarkEnd w:id="22"/>
    <w:bookmarkStart w:id="26" w:name="Xaa87d21ceb4d4a0c1ee75b2a1a1b69e0dce2d8c"/>
    <w:p>
      <w:pPr>
        <w:pStyle w:val="Heading2"/>
      </w:pPr>
      <w:r>
        <w:t xml:space="preserve">The Evolving Identity of the Academic Researcher</w:t>
      </w:r>
    </w:p>
    <w:p>
      <w:pPr>
        <w:pStyle w:val="FirstParagraph"/>
      </w:pPr>
      <w:r>
        <w:t xml:space="preserve">The traditional model of the</w:t>
      </w:r>
      <w:r>
        <w:t xml:space="preserve"> </w:t>
      </w:r>
      <w:r>
        <w:rPr>
          <w:iCs/>
          <w:i/>
        </w:rPr>
        <w:t xml:space="preserve">Academic Researcher</w:t>
      </w:r>
      <w:r>
        <w:t xml:space="preserve">—often depicted as a solitary scholar in an ivory tower—is increasingly obsolete. In the context of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and indeed across the UK, funding bodies such as UKRI (UK Research and Innovation) prioritize "impact" alongside "excellence." This shift has fundamentally altered daily practices for researchers.</w:t>
      </w:r>
    </w:p>
    <w:bookmarkStart w:id="23" w:name="the-impact-imperative"/>
    <w:p>
      <w:pPr>
        <w:pStyle w:val="Heading3"/>
      </w:pPr>
      <w:r>
        <w:t xml:space="preserve">1. The Impact Imperative</w:t>
      </w:r>
    </w:p>
    <w:p>
      <w:pPr>
        <w:pStyle w:val="FirstParagraph"/>
      </w:pPr>
      <w:r>
        <w:t xml:space="preserve">A core theme of this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is the metric of impact. For an</w:t>
      </w:r>
      <w:r>
        <w:t xml:space="preserve"> </w:t>
      </w:r>
      <w:r>
        <w:rPr>
          <w:iCs/>
          <w:i/>
        </w:rPr>
        <w:t xml:space="preserve">Academic Researcher</w:t>
      </w:r>
      <w:r>
        <w:t xml:space="preserve">, success is no longer measured solely by citation counts in high-impact journals. Instead, it involves demonstrable effects on policy, public health, or economic growth. In Manchester, examples include research influencing local housing policies or digital inclusion initiatives for marginalized communities.</w:t>
      </w:r>
    </w:p>
    <w:bookmarkEnd w:id="23"/>
    <w:bookmarkStart w:id="24" w:name="interdisciplinarity-as-necessity"/>
    <w:p>
      <w:pPr>
        <w:pStyle w:val="Heading3"/>
      </w:pPr>
      <w:r>
        <w:t xml:space="preserve">2. Interdisciplinarity as Necessity</w:t>
      </w:r>
    </w:p>
    <w:p>
      <w:pPr>
        <w:pStyle w:val="FirstParagraph"/>
      </w:pPr>
      <w:r>
        <w:t xml:space="preserve">The complex challenges facing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—such as climate change adaptation, post-industrial regeneration, and public health inequalities—cannot be solved by single disciplines. The modern</w:t>
      </w:r>
      <w:r>
        <w:t xml:space="preserve"> </w:t>
      </w:r>
      <w:r>
        <w:rPr>
          <w:iCs/>
          <w:i/>
        </w:rPr>
        <w:t xml:space="preserve">Academic Researcher</w:t>
      </w:r>
      <w:r>
        <w:t xml:space="preserve"> </w:t>
      </w:r>
      <w:r>
        <w:t xml:space="preserve">is expected to collaborate across boundaries. This poster illustrates case studies where sociologists, computer scientists, and artists have co-created research frameworks that yield richer insights than siloed approaches.</w:t>
      </w:r>
    </w:p>
    <w:bookmarkEnd w:id="24"/>
    <w:bookmarkStart w:id="25" w:name="digital-literacy-and-open-science"/>
    <w:p>
      <w:pPr>
        <w:pStyle w:val="Heading3"/>
      </w:pPr>
      <w:r>
        <w:t xml:space="preserve">3. Digital Literacy and Open Science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also addresses the technological toolkit of the contemporary researcher. Open access publishing, data sharing mandates, and digital collaboration platforms are now standard. In Manchester's tech-forward environment, researchers are expected to manage big data sets while maintaining ethical standards regarding privacy and consent.</w:t>
      </w:r>
    </w:p>
    <w:bookmarkEnd w:id="25"/>
    <w:bookmarkEnd w:id="26"/>
    <w:bookmarkStart w:id="27" w:name="X839b940202c9d448b61832b2d0ef152bacd9736"/>
    <w:p>
      <w:pPr>
        <w:pStyle w:val="Heading2"/>
      </w:pPr>
      <w:r>
        <w:t xml:space="preserve">Methodology: Analyzing Research Ecosystems</w:t>
      </w:r>
    </w:p>
    <w:p>
      <w:pPr>
        <w:pStyle w:val="FirstParagraph"/>
      </w:pPr>
      <w:r>
        <w:t xml:space="preserve">The data presented in this poster is derived from a mixed-methods study conducted over 18 months. The methodology included: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Semi-structured Interviews:</w:t>
      </w:r>
      <w:r>
        <w:t xml:space="preserve">Sem with 50</w:t>
      </w:r>
      <w:r>
        <w:t xml:space="preserve"> </w:t>
      </w:r>
      <w:r>
        <w:rPr>
          <w:iCs/>
          <w:i/>
        </w:rPr>
        <w:t xml:space="preserve">Academic Researchers</w:t>
      </w:r>
      <w:r>
        <w:t xml:space="preserve"> </w:t>
      </w:r>
      <w:r>
        <w:t xml:space="preserve">across various faculties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Bibliometric Analysis:</w:t>
      </w:r>
      <w:r>
        <w:t xml:space="preserve">Trajectory of collaborative publications between universities and local industries.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Spatial Mapping:</w:t>
      </w:r>
      <w:r>
        <w:t xml:space="preserve">An analysis of how physical spaces in Manchester (e.g., the new Science Park, public libraries) facilitate informal academic networking.</w:t>
      </w:r>
    </w:p>
    <w:bookmarkEnd w:id="27"/>
    <w:bookmarkStart w:id="28" w:name="results-and-discussion"/>
    <w:p>
      <w:pPr>
        <w:pStyle w:val="Heading2"/>
      </w:pPr>
      <w:r>
        <w:t xml:space="preserve">Results and Discussion</w:t>
      </w:r>
    </w:p>
    <w:p>
      <w:pPr>
        <w:pStyle w:val="FirstParagraph"/>
      </w:pPr>
      <w:r>
        <w:t xml:space="preserve">The findings reveal a significant tension between administrative demands for impact and the intrinsic motivation for pure curiosity-driven research. However, this tension has also generated creative hybrid roles. For instance, "Research Fellows" in industry partnerships are emerging as a distinct category of</w:t>
      </w:r>
      <w:r>
        <w:t xml:space="preserve"> </w:t>
      </w:r>
      <w:r>
        <w:rPr>
          <w:iCs/>
          <w:i/>
        </w:rPr>
        <w:t xml:space="preserve">Academic Researcher</w:t>
      </w:r>
      <w:r>
        <w:t xml:space="preserve">.</w:t>
      </w:r>
    </w:p>
    <w:p>
      <w:pPr>
        <w:pStyle w:val="BodyText"/>
      </w:pPr>
      <w:r>
        <w:t xml:space="preserve">Key observations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Network Density:</w:t>
      </w:r>
      <w:r>
        <w:t xml:space="preserve">The density of collaborative networks in Manchester has increased by 40% over the last decade, driven by city-wide initiatives.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Career Paths:</w:t>
      </w:r>
      <w:r>
        <w:t xml:space="preserve">Young</w:t>
      </w:r>
      <w:r>
        <w:t xml:space="preserve"> </w:t>
      </w:r>
      <w:r>
        <w:rPr>
          <w:iCs/>
          <w:i/>
        </w:rPr>
        <w:t xml:space="preserve">Academic Researchers</w:t>
      </w:r>
      <w:r>
        <w:t xml:space="preserve"> </w:t>
      </w:r>
      <w:r>
        <w:t xml:space="preserve">report higher job satisfaction when their work directly addresses local community needs identified through participatory methods.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Funding Dynamics:</w:t>
      </w:r>
      <w:r>
        <w:t xml:space="preserve">A shift toward competitive project-based funding has encouraged agility but also increased precariousness for early-career researchers.</w:t>
      </w:r>
    </w:p>
    <w:bookmarkEnd w:id="28"/>
    <w:bookmarkStart w:id="29" w:name="X4ab76c0eb1aa5f7a49c3ff9d39277e2fd895552"/>
    <w:p>
      <w:pPr>
        <w:pStyle w:val="Heading2"/>
      </w:pPr>
      <w:r>
        <w:t xml:space="preserve">The Role of the Poster Presentation Academic Format</w:t>
      </w:r>
    </w:p>
    <w:p>
      <w:pPr>
        <w:pStyle w:val="FirstParagraph"/>
      </w:pPr>
      <w:r>
        <w:t xml:space="preserve">This document emphasizes why the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format is particularly suited to discussing these topics. Unlike traditional linear papers, a poster allows for non-linear engagement. Viewers can jump between sections—such as from the "Manchester Context" to the "Methodology"—mirroring the interdisciplinary nature of modern research.</w:t>
      </w:r>
    </w:p>
    <w:p>
      <w:pPr>
        <w:pStyle w:val="BodyText"/>
      </w:pPr>
      <w:r>
        <w:t xml:space="preserve">The visual hierarchy in this design guides the audience through:</w:t>
      </w:r>
    </w:p>
    <w:p>
      <w:pPr>
        <w:pStyle w:val="BodyText"/>
      </w:pPr>
      <w:r>
        <w:t xml:space="preserve">1. The</w:t>
      </w:r>
      <w:r>
        <w:t xml:space="preserve"> </w:t>
      </w:r>
      <w:r>
        <w:rPr>
          <w:bCs/>
          <w:b/>
        </w:rPr>
        <w:t xml:space="preserve">Problem</w:t>
      </w:r>
      <w:r>
        <w:t xml:space="preserve">: Changing expectations of researchers.</w:t>
      </w:r>
      <w:r>
        <w:br/>
      </w:r>
      <w:r>
        <w:t xml:space="preserve">2. The</w:t>
      </w:r>
      <w:r>
        <w:t xml:space="preserve"> </w:t>
      </w:r>
      <w:r>
        <w:rPr>
          <w:bCs/>
          <w:b/>
        </w:rPr>
        <w:t xml:space="preserve">Context</w:t>
      </w:r>
      <w:r>
        <w:t xml:space="preserve">: Why Manchester is a unique laboratory.</w:t>
      </w:r>
      <w:r>
        <w:br/>
      </w:r>
      <w:r>
        <w:t xml:space="preserve">3. The</w:t>
      </w:r>
      <w:r>
        <w:t xml:space="preserve"> </w:t>
      </w:r>
      <w:r>
        <w:rPr>
          <w:bCs/>
          <w:b/>
        </w:rPr>
        <w:t xml:space="preserve">Solution/Analysis</w:t>
      </w:r>
      <w:r>
        <w:t xml:space="preserve">: How researchers are adapting.</w:t>
      </w:r>
      <w:r>
        <w:br/>
      </w:r>
      <w:r>
        <w:t xml:space="preserve">4. The</w:t>
      </w:r>
      <w:r>
        <w:t xml:space="preserve"> </w:t>
      </w:r>
      <w:r>
        <w:rPr>
          <w:bCs/>
          <w:b/>
        </w:rPr>
        <w:t xml:space="preserve">Implication</w:t>
      </w:r>
      <w:r>
        <w:t xml:space="preserve">: Future directions for policy and practice.</w:t>
      </w:r>
    </w:p>
    <w:bookmarkEnd w:id="29"/>
    <w:bookmarkStart w:id="30" w:name="conclusion-future-directions"/>
    <w:p>
      <w:pPr>
        <w:pStyle w:val="Heading2"/>
      </w:pPr>
      <w:r>
        <w:t xml:space="preserve">Conclusion: Future Directions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iCs/>
          <w:i/>
        </w:rPr>
        <w:t xml:space="preserve">Academic Researcher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is evolving into one of greater societal engagement, technological integration, and collaborative complexity. This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concludes that supporting researchers requires more than just funding; it requires creating infrastructures—both physical and social—that facilitate these new modes of inquiry.</w:t>
      </w:r>
    </w:p>
    <w:p>
      <w:pPr>
        <w:pStyle w:val="BodyText"/>
      </w:pPr>
      <w:r>
        <w:t xml:space="preserve">Future research should focus on longitudinal studies tracking the career longevity and well-being of</w:t>
      </w:r>
      <w:r>
        <w:t xml:space="preserve"> </w:t>
      </w:r>
      <w:r>
        <w:rPr>
          <w:iCs/>
          <w:i/>
        </w:rPr>
        <w:t xml:space="preserve">Academic Researchers</w:t>
      </w:r>
      <w:r>
        <w:t xml:space="preserve"> </w:t>
      </w:r>
      <w:r>
        <w:t xml:space="preserve">who embrace these hybrid roles. By examining the vibrant academic landscape of Manchester, we can draw lessons applicable to other post-industrial cities in the UK and beyond.</w:t>
      </w:r>
    </w:p>
    <w:bookmarkEnd w:id="30"/>
    <w:bookmarkStart w:id="31" w:name="acknowledgments"/>
    <w:p>
      <w:pPr>
        <w:pStyle w:val="Heading2"/>
      </w:pPr>
      <w:r>
        <w:t xml:space="preserve">Acknowledgments</w:t>
      </w:r>
    </w:p>
    <w:p>
      <w:pPr>
        <w:pStyle w:val="FirstParagraph"/>
      </w:pPr>
      <w:r>
        <w:t xml:space="preserve">We thank the University Library services and local industry partners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for their support in data collection. This research was supported by internal grants aimed at fostering community-university engagement.</w:t>
      </w:r>
    </w:p>
    <w:bookmarkEnd w:id="31"/>
    <w:bookmarkStart w:id="32" w:name="references-selected"/>
    <w:p>
      <w:pPr>
        <w:pStyle w:val="Heading2"/>
      </w:pPr>
      <w:r>
        <w:t xml:space="preserve">References (Selected)</w:t>
      </w:r>
    </w:p>
    <w:p>
      <w:pPr>
        <w:numPr>
          <w:ilvl w:val="0"/>
          <w:numId w:val="1004"/>
        </w:numPr>
        <w:pStyle w:val="Compact"/>
      </w:pPr>
      <w:r>
        <w:t xml:space="preserve">Brown, S., &amp; Smith, J. (2021).</w:t>
      </w:r>
      <w:r>
        <w:t xml:space="preserve"> </w:t>
      </w:r>
      <w:r>
        <w:rPr>
          <w:iCs/>
          <w:i/>
        </w:rPr>
        <w:t xml:space="preserve">The Impact Agenda in UK Higher Education</w:t>
      </w:r>
      <w:r>
        <w:t xml:space="preserve">. Oxford University Press.</w:t>
      </w:r>
    </w:p>
    <w:p>
      <w:pPr>
        <w:numPr>
          <w:ilvl w:val="0"/>
          <w:numId w:val="1004"/>
        </w:numPr>
        <w:pStyle w:val="Compact"/>
      </w:pPr>
      <w:r>
        <w:t xml:space="preserve">Mancini, P. (2019).</w:t>
      </w:r>
      <w:r>
        <w:t xml:space="preserve"> </w:t>
      </w:r>
      <w:r>
        <w:rPr>
          <w:iCs/>
          <w:i/>
        </w:rPr>
        <w:t xml:space="preserve">Sociology of Industrial Cities: The Manchester Legacy</w:t>
      </w:r>
      <w:r>
        <w:t xml:space="preserve">. Journal of Urban Studies.</w:t>
      </w:r>
    </w:p>
    <w:p>
      <w:pPr>
        <w:numPr>
          <w:ilvl w:val="0"/>
          <w:numId w:val="1004"/>
        </w:numPr>
        <w:pStyle w:val="Compact"/>
      </w:pPr>
      <w:r>
        <w:t xml:space="preserve">UK Research and Innovation. (2023).</w:t>
      </w:r>
      <w:r>
        <w:t xml:space="preserve"> </w:t>
      </w:r>
      <w:r>
        <w:rPr>
          <w:iCs/>
          <w:i/>
        </w:rPr>
        <w:t xml:space="preserve">EfR Excellence Framework Guidelines</w:t>
      </w:r>
      <w:r>
        <w:t xml:space="preserve">.</w:t>
      </w:r>
    </w:p>
    <w:p>
      <w:pPr>
        <w:pStyle w:val="FirstParagraph"/>
      </w:pPr>
      <w:r>
        <w:t xml:space="preserve">© 2023 Academic Researcher Poster Presentation Series. All rights reserved.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Academic Researcher in United Kingdom Manchester</dc:title>
  <dc:creator/>
  <dc:language>en</dc:language>
  <cp:keywords/>
  <dcterms:created xsi:type="dcterms:W3CDTF">2026-07-30T12:38:04Z</dcterms:created>
  <dcterms:modified xsi:type="dcterms:W3CDTF">2026-07-30T12:38:04Z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