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Uzbekistan</w:t>
      </w:r>
      <w:r>
        <w:t xml:space="preserve"> </w:t>
      </w:r>
      <w:r>
        <w:t xml:space="preserve">Tashkent</w:t>
      </w:r>
    </w:p>
    <w:p>
      <w:pPr>
        <w:pStyle w:val="FirstParagraph"/>
      </w:pPr>
      <w:r>
        <w:t xml:space="preserve">/* Main container for the entire poster layout. */</w:t>
      </w:r>
    </w:p>
    <w:bookmarkStart w:id="30" w:name="Xd718064b852487a1495e15ddb4b9d7858ced25a"/>
    <w:p>
      <w:pPr>
        <w:pStyle w:val="Heading1"/>
      </w:pPr>
      <w:r>
        <w:t xml:space="preserve">Bridging Tradition and Innovation:</w:t>
      </w:r>
      <w:r>
        <w:br/>
      </w:r>
      <w:r>
        <w:t xml:space="preserve">The Evolving Role of the Academic Researcher</w:t>
      </w:r>
      <w:r>
        <w:br/>
      </w:r>
      <w:r>
        <w:t xml:space="preserve">in Uzbekistan Tashkent</w:t>
      </w:r>
    </w:p>
    <w:p>
      <w:pPr>
        <w:pStyle w:val="FirstParagraph"/>
      </w:pPr>
      <w:r>
        <w:rPr>
          <w:bCs/>
          <w:b/>
        </w:rPr>
        <w:t xml:space="preserve">A Symposium Overview on Regional Development, Knowledge Transfer, and Global Integration</w:t>
      </w:r>
    </w:p>
    <w:p>
      <w:pPr>
        <w:pStyle w:val="BodyText"/>
      </w:pPr>
      <w:r>
        <w:t xml:space="preserve">Tashkent, Uzbekistan | Contemporary Higher Education Initiatives</w:t>
      </w:r>
    </w:p>
    <w:p>
      <w:pPr>
        <w:pStyle w:val="BodyText"/>
      </w:pPr>
      <w:r>
        <w:t xml:space="preserve">/* Box for the abstract/summary section */</w:t>
      </w:r>
    </w:p>
    <w:bookmarkStart w:id="20" w:name="X790b1b60696a74f1384f634cb2c1899ac0222e4"/>
    <w:p>
      <w:pPr>
        <w:pStyle w:val="Heading2"/>
      </w:pPr>
      <w:r>
        <w:t xml:space="preserve">Abstract: Contextualizing the Academic Researcher in Tashkent</w:t>
      </w:r>
    </w:p>
    <w:p>
      <w:pPr>
        <w:pStyle w:val="FirstParagraph"/>
      </w:pPr>
      <w:r>
        <w:t xml:space="preserve">The city of Tashkent, serving as the vibrant heart and capital of Uzbekistan, stands at a critical juncture in its historical trajectory. As Uzbekistan pursues ambitious economic reforms and modernization strategies under the "New Uzbekistan" initiative, the role of the</w:t>
      </w:r>
      <w:r>
        <w:t xml:space="preserve"> </w:t>
      </w:r>
      <w:r>
        <w:rPr>
          <w:bCs/>
          <w:b/>
        </w:rPr>
        <w:t xml:space="preserve">Academic Researcher</w:t>
      </w:r>
      <w:r>
        <w:t xml:space="preserve"> </w:t>
      </w:r>
      <w:r>
        <w:t xml:space="preserve">has transcended traditional boundaries. This poster presentation explores how the</w:t>
      </w:r>
      <w:r>
        <w:t xml:space="preserve"> </w:t>
      </w:r>
      <w:r>
        <w:rPr>
          <w:bCs/>
          <w:b/>
        </w:rPr>
        <w:t xml:space="preserve">Academic Researcher</w:t>
      </w:r>
      <w:r>
        <w:t xml:space="preserve"> </w:t>
      </w:r>
      <w:r>
        <w:t xml:space="preserve">operates within Tashkent, acting as a pivotal catalyst for scientific innovation, cultural preservation, and international collaboration. By examining specific case studies in biotechnology, digital infrastructure, and Central Asian history published by institutions in Tashkent, we highlight the dual mandate of local scholars: to address regional challenges while contributing to global academic discourse.</w:t>
      </w:r>
    </w:p>
    <w:bookmarkEnd w:id="20"/>
    <w:bookmarkStart w:id="21" w:name="X7493a5bb83247c63167bd7ec88f9e73b1f33ebe"/>
    <w:p>
      <w:pPr>
        <w:pStyle w:val="Heading2"/>
      </w:pPr>
      <w:r>
        <w:t xml:space="preserve">1. Introduction: The Tashkent Academic Landscape</w:t>
      </w:r>
    </w:p>
    <w:p>
      <w:pPr>
        <w:pStyle w:val="FirstParagraph"/>
      </w:pPr>
      <w:r>
        <w:t xml:space="preserve">Tashkent is not merely a geographical location but a dynamic ecosystem of higher learning. Home to prestigious institutions such as the National University of Uzbekistan (NUZ), Tashkent State Technical University named after Islam Karimov, and the International Islamic University, the city hosts a dense concentration of intellectual capital. The</w:t>
      </w:r>
      <w:r>
        <w:t xml:space="preserve"> </w:t>
      </w:r>
      <w:r>
        <w:rPr>
          <w:bCs/>
          <w:b/>
        </w:rPr>
        <w:t xml:space="preserve">Academic Researcher</w:t>
      </w:r>
      <w:r>
        <w:t xml:space="preserve"> </w:t>
      </w:r>
      <w:r>
        <w:t xml:space="preserve">in this context faces unique opportunities and pressures.</w:t>
      </w:r>
    </w:p>
    <w:p>
      <w:pPr>
        <w:pStyle w:val="BodyText"/>
      </w:pPr>
      <w:r>
        <w:t xml:space="preserve">The historical significance of Tashkent as a hub on the Silk Road underscores its enduring legacy as a crossroads of culture and ideas. Today, this legacy is being reinterpreted through modern scientific inquiry. The</w:t>
      </w:r>
      <w:r>
        <w:t xml:space="preserve"> </w:t>
      </w:r>
      <w:r>
        <w:rPr>
          <w:bCs/>
          <w:b/>
        </w:rPr>
        <w:t xml:space="preserve">Academic Researcher</w:t>
      </w:r>
      <w:r>
        <w:t xml:space="preserve"> </w:t>
      </w:r>
      <w:r>
        <w:t xml:space="preserve">is tasked with leveraging this heritage to foster innovation in sectors critical to Uzbekistan's future, including agriculture, energy efficiency, and information technology.</w:t>
      </w:r>
    </w:p>
    <w:bookmarkEnd w:id="21"/>
    <w:bookmarkStart w:id="22" w:name="Xf29ab6705d847c5eb96a98d1de1c9fb45656854"/>
    <w:p>
      <w:pPr>
        <w:pStyle w:val="Heading2"/>
      </w:pPr>
      <w:r>
        <w:t xml:space="preserve">2. Methodology: Interdisciplinary Approaches in Tashkent</w:t>
      </w:r>
    </w:p>
    <w:p>
      <w:pPr>
        <w:pStyle w:val="FirstParagraph"/>
      </w:pPr>
      <w:r>
        <w:t xml:space="preserve">The contemporary</w:t>
      </w:r>
      <w:r>
        <w:t xml:space="preserve"> </w:t>
      </w:r>
      <w:r>
        <w:rPr>
          <w:bCs/>
          <w:b/>
        </w:rPr>
        <w:t xml:space="preserve">Academic Researcher</w:t>
      </w:r>
      <w:r>
        <w:t xml:space="preserve"> </w:t>
      </w:r>
      <w:r>
        <w:t xml:space="preserve">in Tashkent increasingly adopts interdisciplinary methodologies. Traditional silos between humanities and STEM (Science, Technology, Engineering, and Mathematics) fields are dissolving. This section analyzes research output from the last five years to demonstrate:</w:t>
      </w:r>
    </w:p>
    <w:p>
      <w:pPr>
        <w:numPr>
          <w:ilvl w:val="0"/>
          <w:numId w:val="1001"/>
        </w:numPr>
        <w:pStyle w:val="Compact"/>
      </w:pPr>
      <w:r>
        <w:rPr>
          <w:bCs/>
          <w:b/>
        </w:rPr>
        <w:t xml:space="preserve">Digital Humanities in Tashkent:</w:t>
      </w:r>
      <w:r>
        <w:t xml:space="preserve"> </w:t>
      </w:r>
      <w:r>
        <w:t xml:space="preserve">Researchers are using digital archiving technologies to preserve ancient manuscripts found in libraries across Tashkent, making them accessible globally.</w:t>
      </w:r>
    </w:p>
    <w:p>
      <w:pPr>
        <w:numPr>
          <w:ilvl w:val="0"/>
          <w:numId w:val="1001"/>
        </w:numPr>
        <w:pStyle w:val="Compact"/>
      </w:pPr>
      <w:r>
        <w:rPr>
          <w:bCs/>
          <w:b/>
        </w:rPr>
        <w:t xml:space="preserve">Agricultural Biotechnology:</w:t>
      </w:r>
      <w:r>
        <w:t xml:space="preserve"> </w:t>
      </w:r>
      <w:r>
        <w:t xml:space="preserve">Given Uzbekistan's reliance on water-intensive agriculture,</w:t>
      </w:r>
      <w:r>
        <w:t xml:space="preserve"> </w:t>
      </w:r>
      <w:r>
        <w:rPr>
          <w:bCs/>
          <w:b/>
        </w:rPr>
        <w:t xml:space="preserve">Academic Researchers</w:t>
      </w:r>
      <w:r>
        <w:t xml:space="preserve"> </w:t>
      </w:r>
      <w:r>
        <w:t xml:space="preserve">from the Academy of Sciences are developing drought-resistant crop varieties tailored to the specific climatic conditions of the region surrounding Tashkent.</w:t>
      </w:r>
    </w:p>
    <w:p>
      <w:pPr>
        <w:numPr>
          <w:ilvl w:val="0"/>
          <w:numId w:val="1001"/>
        </w:numPr>
        <w:pStyle w:val="Compact"/>
      </w:pPr>
      <w:r>
        <w:rPr>
          <w:bCs/>
          <w:b/>
        </w:rPr>
        <w:t xml:space="preserve">Socio-Economic Modeling:</w:t>
      </w:r>
      <w:r>
        <w:t xml:space="preserve"> </w:t>
      </w:r>
      <w:r>
        <w:t xml:space="preserve">Economists in Tashkent are modeling the impact of foreign direct investment on local labor markets, providing data-driven policy recommendations for government officials.</w:t>
      </w:r>
    </w:p>
    <w:bookmarkEnd w:id="22"/>
    <w:bookmarkStart w:id="26" w:name="X8035345bbba0709017321e4599b2e26ebb91af0"/>
    <w:p>
      <w:pPr>
        <w:pStyle w:val="Heading2"/>
      </w:pPr>
      <w:r>
        <w:t xml:space="preserve">3. The Strategic Role of the Academic Researcher</w:t>
      </w:r>
    </w:p>
    <w:p>
      <w:pPr>
        <w:pStyle w:val="FirstParagraph"/>
      </w:pPr>
      <w:r>
        <w:t xml:space="preserve">The</w:t>
      </w:r>
      <w:r>
        <w:t xml:space="preserve"> </w:t>
      </w:r>
      <w:r>
        <w:rPr>
          <w:bCs/>
          <w:b/>
        </w:rPr>
        <w:t xml:space="preserve">Academic Researcher</w:t>
      </w:r>
      <w:r>
        <w:t xml:space="preserve"> </w:t>
      </w:r>
      <w:r>
        <w:t xml:space="preserve">in Uzbekistan Tashkent serves three primary strategic functions that are vital for national development and global integration:</w:t>
      </w:r>
    </w:p>
    <w:bookmarkStart w:id="23" w:name="a.-catalyst-for-technological-transfer"/>
    <w:p>
      <w:pPr>
        <w:pStyle w:val="Heading3"/>
      </w:pPr>
      <w:r>
        <w:t xml:space="preserve">A. Catalyst for Technological Transfer</w:t>
      </w:r>
    </w:p>
    <w:p>
      <w:pPr>
        <w:pStyle w:val="FirstParagraph"/>
      </w:pPr>
      <w:r>
        <w:t xml:space="preserve">Tech transfer from abroad is crucial. The</w:t>
      </w:r>
      <w:r>
        <w:t xml:space="preserve"> </w:t>
      </w:r>
      <w:r>
        <w:rPr>
          <w:bCs/>
          <w:b/>
        </w:rPr>
        <w:t xml:space="preserve">Academic Researcher</w:t>
      </w:r>
    </w:p>
    <w:p>
      <w:pPr>
        <w:pStyle w:val="BodyText"/>
      </w:pPr>
      <w:r>
        <w:t xml:space="preserve">Tashkent has emerged as a regional hub for IT outsourcing and software development, largely driven by university-led incubators.</w:t>
      </w:r>
      <w:r>
        <w:t xml:space="preserve"> </w:t>
      </w:r>
      <w:r>
        <w:rPr>
          <w:bCs/>
          <w:b/>
        </w:rPr>
        <w:t xml:space="preserve">Academic Researchers</w:t>
      </w:r>
    </w:p>
    <w:bookmarkEnd w:id="23"/>
    <w:bookmarkStart w:id="24" w:name="Xb41b0849003fc53371e5f57b04b01b80e995a3e"/>
    <w:p>
      <w:pPr>
        <w:pStyle w:val="Heading3"/>
      </w:pPr>
      <w:r>
        <w:t xml:space="preserve">B. Guardian of Cultural Identity Amidst Globalization</w:t>
      </w:r>
    </w:p>
    <w:p>
      <w:pPr>
        <w:pStyle w:val="FirstParagraph"/>
      </w:pPr>
      <w:r>
        <w:t xml:space="preserve">In an era of rapid globalization, the</w:t>
      </w:r>
      <w:r>
        <w:t xml:space="preserve"> </w:t>
      </w:r>
      <w:r>
        <w:rPr>
          <w:bCs/>
          <w:b/>
        </w:rPr>
        <w:t xml:space="preserve">Academic Researcher</w:t>
      </w:r>
    </w:p>
    <w:p>
      <w:pPr>
        <w:pStyle w:val="BodyText"/>
      </w:pPr>
      <w:r>
        <w:t xml:space="preserve">Sociologists and anthropologists based in Tashkent are studying the effects of modernization on traditional Uzbek social structures. Their work provides a nuanced understanding of how cultural values persist and adapt, ensuring that development in Uzbekistan does not come at the cost of eroding its rich cultural heritage.</w:t>
      </w:r>
    </w:p>
    <w:bookmarkEnd w:id="24"/>
    <w:bookmarkStart w:id="25" w:name="Xc870721b42bd014de91fad2a10ab19b67a201e8"/>
    <w:p>
      <w:pPr>
        <w:pStyle w:val="Heading3"/>
      </w:pPr>
      <w:r>
        <w:t xml:space="preserve">C. Architects of International Collaboration</w:t>
      </w:r>
    </w:p>
    <w:p>
      <w:pPr>
        <w:pStyle w:val="FirstParagraph"/>
      </w:pPr>
      <w:r>
        <w:t xml:space="preserve">Tashkent is actively positioning itself as a neutral ground for international diplomacy and science.</w:t>
      </w:r>
      <w:r>
        <w:t xml:space="preserve"> </w:t>
      </w:r>
      <w:r>
        <w:rPr>
          <w:bCs/>
          <w:b/>
        </w:rPr>
        <w:t xml:space="preserve">Academic Researchers</w:t>
      </w:r>
    </w:p>
    <w:p>
      <w:pPr>
        <w:pStyle w:val="BodyText"/>
      </w:pPr>
      <w:r>
        <w:t xml:space="preserve">Multinational research projects, such as those funded by the European Union or hosted under UNESCO initiatives, frequently utilize Tashkent-based institutions as regional centers. The</w:t>
      </w:r>
      <w:r>
        <w:t xml:space="preserve"> </w:t>
      </w:r>
      <w:r>
        <w:rPr>
          <w:bCs/>
          <w:b/>
        </w:rPr>
        <w:t xml:space="preserve">Academic Researcher</w:t>
      </w:r>
    </w:p>
    <w:bookmarkEnd w:id="25"/>
    <w:bookmarkEnd w:id="26"/>
    <w:bookmarkStart w:id="27" w:name="Xcd0ce3959a3a8dc40d7485c074c8be26b2fe679"/>
    <w:p>
      <w:pPr>
        <w:pStyle w:val="Heading2"/>
      </w:pPr>
      <w:r>
        <w:t xml:space="preserve">4. Challenges and Future Directions for Researchers in Tashkent</w:t>
      </w:r>
    </w:p>
    <w:p>
      <w:pPr>
        <w:pStyle w:val="FirstParagraph"/>
      </w:pPr>
      <w:r>
        <w:t xml:space="preserve">The role of the</w:t>
      </w:r>
      <w:r>
        <w:t xml:space="preserve"> </w:t>
      </w:r>
      <w:r>
        <w:rPr>
          <w:bCs/>
          <w:b/>
        </w:rPr>
        <w:t xml:space="preserve">Academic Researcher</w:t>
      </w:r>
    </w:p>
    <w:p>
      <w:pPr>
        <w:pStyle w:val="BodyText"/>
      </w:pPr>
      <w:r>
        <w:t xml:space="preserve">/* Key points box for challenges */</w:t>
      </w:r>
    </w:p>
    <w:p>
      <w:pPr>
        <w:pStyle w:val="BodyText"/>
      </w:pPr>
      <w:r>
        <w:rPr>
          <w:bCs/>
          <w:b/>
        </w:rPr>
        <w:t xml:space="preserve">Funding Constraints:</w:t>
      </w:r>
    </w:p>
    <w:p>
      <w:pPr>
        <w:pStyle w:val="BodyText"/>
      </w:pPr>
      <w:r>
        <w:rPr>
          <w:bCs/>
          <w:b/>
        </w:rPr>
        <w:t xml:space="preserve">Bureaucratic Hurdles:</w:t>
      </w:r>
    </w:p>
    <w:p>
      <w:pPr>
        <w:pStyle w:val="BodyText"/>
      </w:pPr>
      <w:r>
        <w:t xml:space="preserve">Critical mass of international students and scholars in Tashkent. This requires</w:t>
      </w:r>
      <w:r>
        <w:t xml:space="preserve"> </w:t>
      </w:r>
      <w:r>
        <w:rPr>
          <w:bCs/>
          <w:b/>
        </w:rPr>
        <w:t xml:space="preserve">Academic Researchers</w:t>
      </w:r>
    </w:p>
    <w:bookmarkEnd w:id="27"/>
    <w:bookmarkStart w:id="28" w:name="X742d95a4420826a5308409f5899fdd9229dd7ec"/>
    <w:p>
      <w:pPr>
        <w:pStyle w:val="Heading2"/>
      </w:pPr>
      <w:r>
        <w:t xml:space="preserve">5. Conclusion: The Path Forward for Academic Research in Uzbekistan Tashkent</w:t>
      </w:r>
    </w:p>
    <w:p>
      <w:pPr>
        <w:pStyle w:val="FirstParagraph"/>
      </w:pPr>
      <w:r>
        <w:t xml:space="preserve">The trajectory of the</w:t>
      </w:r>
    </w:p>
    <w:p>
      <w:pPr>
        <w:pStyle w:val="BodyText"/>
      </w:pPr>
      <w:r>
        <w:t xml:space="preserve">A critical component of the broader vision for Uzbekistan.</w:t>
      </w:r>
    </w:p>
    <w:p>
      <w:pPr>
        <w:pStyle w:val="BodyText"/>
      </w:pPr>
      <w:r>
        <w:rPr>
          <w:bCs/>
          <w:b/>
        </w:rPr>
        <w:t xml:space="preserve">Sustainable Development:</w:t>
      </w:r>
    </w:p>
    <w:p>
      <w:pPr>
        <w:pStyle w:val="BodyText"/>
      </w:pPr>
      <w:r>
        <w:t xml:space="preserve">Critical component of the broader vision for Uzbekistan.</w:t>
      </w:r>
    </w:p>
    <w:p>
      <w:pPr>
        <w:pStyle w:val="BodyText"/>
      </w:pPr>
      <w:r>
        <w:t xml:space="preserve">In conclusion, the</w:t>
      </w:r>
      <w:r>
        <w:t xml:space="preserve"> </w:t>
      </w:r>
      <w:r>
        <w:rPr>
          <w:bCs/>
          <w:b/>
        </w:rPr>
        <w:t xml:space="preserve">Academic Researcher</w:t>
      </w:r>
    </w:p>
    <w:bookmarkEnd w:id="28"/>
    <w:bookmarkStart w:id="29" w:name="X42b084d1f854da2f917340ac5a1654d2cda9173"/>
    <w:p>
      <w:pPr>
        <w:pStyle w:val="Heading2"/>
      </w:pPr>
      <w:r>
        <w:t xml:space="preserve">End of Poster Presentation Document. Focus: Academic Researcher | Location: Uzbekistan Tashkent.</w:t>
      </w:r>
    </w:p>
    <w:p>
      <w:pPr>
        <w:pStyle w:val="FirstParagraph"/>
      </w:pPr>
      <w:r>
        <w:t xml:space="preserve">Prepared for dissemination in academic circles within Tashkent and international partners engaged with Uzbekistan Tashkent initiatives.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Academic Researcher in Uzbekistan Tashkent</dc:title>
  <dc:creator/>
  <dc:language>en</dc:language>
  <cp:keywords/>
  <dcterms:created xsi:type="dcterms:W3CDTF">2026-07-29T18:09:59Z</dcterms:created>
  <dcterms:modified xsi:type="dcterms:W3CDTF">2026-07-29T18:09:59Z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