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Accountant</w:t>
      </w:r>
      <w:r>
        <w:t xml:space="preserve"> </w:t>
      </w:r>
      <w:r>
        <w:t xml:space="preserve">Poster</w:t>
      </w:r>
      <w:r>
        <w:t xml:space="preserve"> </w:t>
      </w:r>
      <w:r>
        <w:t xml:space="preserve">Presentation:</w:t>
      </w:r>
      <w:r>
        <w:t xml:space="preserve"> </w:t>
      </w:r>
      <w:r>
        <w:t xml:space="preserve">China</w:t>
      </w:r>
      <w:r>
        <w:t xml:space="preserve"> </w:t>
      </w:r>
      <w:r>
        <w:t xml:space="preserve">Shanghai</w:t>
      </w:r>
      <w:r>
        <w:t xml:space="preserve"> </w:t>
      </w:r>
      <w:r>
        <w:t xml:space="preserve">Context</w:t>
      </w:r>
    </w:p>
    <w:bookmarkStart w:id="20" w:name="X73c7934ef821b1e45e08b48cbcc49a7283a363e"/>
    <w:p>
      <w:pPr>
        <w:pStyle w:val="Heading1"/>
      </w:pPr>
      <w:r>
        <w:t xml:space="preserve">The Evolving Role of the Accountant in China's Shanghai Financial Hub</w:t>
      </w:r>
    </w:p>
    <w:p>
      <w:pPr>
        <w:pStyle w:val="FirstParagraph"/>
      </w:pPr>
      <w:r>
        <w:t xml:space="preserve">Navigating Regulatory Complexity, Digital Transformation, and Global Integration</w:t>
      </w:r>
    </w:p>
    <w:p>
      <w:pPr>
        <w:pStyle w:val="BodyText"/>
      </w:pPr>
      <w:r>
        <w:t xml:space="preserve">Presented by: [Your Name/Department] | Institution: [Your University/Organization]</w:t>
      </w:r>
    </w:p>
    <w:bookmarkEnd w:id="20"/>
    <w:p>
      <w:pPr>
        <w:pStyle w:val="BodyText"/>
      </w:pPr>
      <w:hyperlink w:anchor="introduction">
        <w:r>
          <w:rPr>
            <w:rStyle w:val="Hyperlink"/>
          </w:rPr>
          <w:t xml:space="preserve">Introduction</w:t>
        </w:r>
      </w:hyperlink>
      <w:r>
        <w:t xml:space="preserve"> </w:t>
      </w:r>
      <w:hyperlink w:anchor="regulatory">
        <w:r>
          <w:rPr>
            <w:rStyle w:val="Hyperlink"/>
          </w:rPr>
          <w:t xml:space="preserve">Regulatory Landscape</w:t>
        </w:r>
      </w:hyperlink>
      <w:r>
        <w:t xml:space="preserve"> </w:t>
      </w:r>
      <w:hyperlink w:anchor="tech-impact">
        <w:r>
          <w:rPr>
            <w:rStyle w:val="Hyperlink"/>
          </w:rPr>
          <w:t xml:space="preserve">Technological Impact</w:t>
        </w:r>
        <w:r>
          <w:rPr>
            <w:rStyle w:val="Hyperlink"/>
          </w:rPr>
          <w:t xml:space="preserve"> </w:t>
        </w:r>
        <w:r>
          <w:rPr>
            <w:rStyle w:val="Hyperlink"/>
          </w:rPr>
          <w:t xml:space="preserve">&lt; ahref ="#skills"&gt;#SkillsDevelopment</w:t>
        </w:r>
        <w:r>
          <w:rPr>
            <w:rStyle w:val="Hyperlink"/>
          </w:rPr>
          <w:t xml:space="preserve"> </w:t>
        </w:r>
        <w:r>
          <w:rPr>
            <w:rStyle w:val="Hyperlink"/>
          </w:rPr>
          <w:t xml:space="preserve">&lt; ahref ="#case-study"&gt;#CaseStudy</w:t>
        </w:r>
      </w:hyperlink>
    </w:p>
    <w:bookmarkStart w:id="30" w:name="introduction"/>
    <w:bookmarkStart w:id="21" w:name="introduction"/>
    <w:p>
      <w:pPr>
        <w:pStyle w:val="Heading2"/>
      </w:pPr>
      <w:r>
        <w:t xml:space="preserve">Introduction</w:t>
      </w:r>
    </w:p>
    <w:p>
      <w:pPr>
        <w:pStyle w:val="FirstParagraph"/>
      </w:pPr>
      <w:r>
        <w:t xml:space="preserve">Shanghai stands as the undisputed financial heart of China and one of the most critical economic nodes globally. As a premier international financial center, it serves as the gateway for foreign capital entering mainland China and provides Chinese enterprises with avenues to internationalize. Within this high-stakes environment, the role of the</w:t>
      </w:r>
      <w:r>
        <w:t xml:space="preserve"> </w:t>
      </w:r>
      <w:r>
        <w:rPr>
          <w:bCs/>
          <w:b/>
        </w:rPr>
        <w:t xml:space="preserve">Accountant</w:t>
      </w:r>
      <w:r>
        <w:t xml:space="preserve"> </w:t>
      </w:r>
      <w:r>
        <w:t xml:space="preserve">has transcended traditional bookkeeping duties to become a strategic business partner.</w:t>
      </w:r>
    </w:p>
    <w:p>
      <w:pPr>
        <w:pStyle w:val="BodyText"/>
      </w:pPr>
      <w:r>
        <w:t xml:space="preserve">This poster presentation explores how accounting professionals in Shanghai must navigate a unique triad of challenges: stringent local regulatory frameworks, rapid adoption of FinTech and AI technologies, and the necessity for cross-cultural financial communication. The modern accountant in China's Shanghai is not merely a recorder of history but an analyst predicting future economic trends.</w:t>
      </w:r>
    </w:p>
    <w:bookmarkEnd w:id="21"/>
    <w:bookmarkStart w:id="29" w:name="regulatory"/>
    <w:bookmarkStart w:id="22" w:name="regulatory-landscape-in-china"/>
    <w:p>
      <w:pPr>
        <w:pStyle w:val="Heading2"/>
      </w:pPr>
      <w:r>
        <w:t xml:space="preserve">Regulatory Landscape in China</w:t>
      </w:r>
    </w:p>
    <w:p>
      <w:pPr>
        <w:pStyle w:val="FirstParagraph"/>
      </w:pPr>
      <w:r>
        <w:t xml:space="preserve">Operating an accounting practice or department in Shanghai requires a deep understanding of the dual-layered regulatory environment. While international standards like IFRS (International Financial Reporting Standards) are increasingly adopted by multinational corporations, local compliance with Chinese Accounting Standards (CAS) remains mandatory for domestic entities and heavily influences foreign subsidiaries.</w:t>
      </w:r>
    </w:p>
    <w:p>
      <w:pPr>
        <w:numPr>
          <w:ilvl w:val="0"/>
          <w:numId w:val="1001"/>
        </w:numPr>
        <w:pStyle w:val="Compact"/>
      </w:pPr>
      <w:r>
        <w:rPr>
          <w:bCs/>
          <w:b/>
        </w:rPr>
        <w:t xml:space="preserve">Double Taxation Agreements:</w:t>
      </w:r>
      <w:r>
        <w:t xml:space="preserve"> </w:t>
      </w:r>
      <w:r>
        <w:t xml:space="preserve">Shanghai accountants often manage complex inter-company transactions benefiting from treaties between China and over 100 countries.</w:t>
      </w:r>
    </w:p>
    <w:p>
      <w:pPr>
        <w:numPr>
          <w:ilvl w:val="0"/>
          <w:numId w:val="1001"/>
        </w:numPr>
        <w:pStyle w:val="Compact"/>
      </w:pPr>
      <w:r>
        <w:rPr>
          <w:bCs/>
          <w:b/>
        </w:rPr>
        <w:t xml:space="preserve">Tax Incentives &amp; Compliance:</w:t>
      </w:r>
      <w:r>
        <w:t xml:space="preserve"> </w:t>
      </w:r>
      <w:r>
        <w:t xml:space="preserve">Specific zones in Shanghai, such as the Free Trade Zone (FTZ) and Lingang Special Area, offer tax benefits for high-tech enterprises. Accountants must ensure rigorous documentation to maintain eligibility while avoiding scrutiny from the State Taxation Administration.</w:t>
      </w:r>
    </w:p>
    <w:p>
      <w:pPr>
        <w:numPr>
          <w:ilvl w:val="0"/>
          <w:numId w:val="1001"/>
        </w:numPr>
        <w:pStyle w:val="Compact"/>
      </w:pPr>
      <w:r>
        <w:rPr>
          <w:bCs/>
          <w:b/>
        </w:rPr>
        <w:t xml:space="preserve">Audit Regulations:</w:t>
      </w:r>
      <w:r>
        <w:t xml:space="preserve"> </w:t>
      </w:r>
      <w:r>
        <w:t xml:space="preserve">Recent tightening of audit regulations in China demands higher transparency. Shanghai-based firms are increasingly subject to joint inspections by Chinese authorities and international regulators (like the PCAOB), necessitating robust internal controls.</w:t>
      </w:r>
    </w:p>
    <w:bookmarkEnd w:id="22"/>
    <w:bookmarkStart w:id="28" w:name="tech-impact"/>
    <w:bookmarkStart w:id="23" w:name="digital-transformation-fintech"/>
    <w:p>
      <w:pPr>
        <w:pStyle w:val="Heading2"/>
      </w:pPr>
      <w:r>
        <w:t xml:space="preserve">Digital Transformation &amp; FinTech</w:t>
      </w:r>
    </w:p>
    <w:p>
      <w:pPr>
        <w:pStyle w:val="FirstParagraph"/>
      </w:pPr>
      <w:r>
        <w:t xml:space="preserve">China, and specifically Shanghai, is a global leader in digital adoption. The integration of artificial intelligence, big data analytics, and blockchain into accounting processes is not futuristic—it is present day. Shanghai's tech ecosystem provides accountants with advanced tools that automate mundane tasks such as invoice processing and reconciliation.</w:t>
      </w:r>
    </w:p>
    <w:p>
      <w:pPr>
        <w:pStyle w:val="BodyText"/>
      </w:pPr>
      <w:r>
        <w:t xml:space="preserve">Furthermore, the rise of "Super Apps" like WeChat Pay and Alipay has transformed financial reporting mechanisms. Accountants in Shanghai must be proficient in managing micro-transaction volumes that traditional systems cannot handle efficiently. This technological shift forces the accountant to pivot from data entry to data interpretation, providing real-time insights into cash flow and operational efficiency.</w:t>
      </w:r>
    </w:p>
    <w:bookmarkEnd w:id="23"/>
    <w:bookmarkStart w:id="27" w:name="skills"/>
    <w:bookmarkStart w:id="24" w:name="evolving-skill-sets"/>
    <w:p>
      <w:pPr>
        <w:pStyle w:val="Heading2"/>
      </w:pPr>
      <w:r>
        <w:t xml:space="preserve">Evolving Skill Sets</w:t>
      </w:r>
    </w:p>
    <w:p>
      <w:pPr>
        <w:pStyle w:val="FirstParagraph"/>
      </w:pPr>
      <w:r>
        <w:t xml:space="preserve">The demand profile for accountants in Shanghai has shifted dramatically. While technical competence remains the baseline, soft skills and strategic vision are now paramount.</w:t>
      </w:r>
    </w:p>
    <w:p>
      <w:pPr>
        <w:numPr>
          <w:ilvl w:val="0"/>
          <w:numId w:val="1002"/>
        </w:numPr>
        <w:pStyle w:val="Compact"/>
      </w:pPr>
      <w:r>
        <w:rPr>
          <w:bCs/>
          <w:b/>
        </w:rPr>
        <w:t xml:space="preserve">Cross-Cultural Competence:</w:t>
      </w:r>
      <w:r>
        <w:t xml:space="preserve"> </w:t>
      </w:r>
      <w:r>
        <w:t xml:space="preserve">Due to the high concentration of MNCs, Shanghai accountants must communicate effectively with global headquarters that may be located in New York, London, or Tokyo. Fluency in English and an understanding of Western business etiquette are critical.</w:t>
      </w:r>
    </w:p>
    <w:p>
      <w:pPr>
        <w:numPr>
          <w:ilvl w:val="0"/>
          <w:numId w:val="1002"/>
        </w:numPr>
        <w:pStyle w:val="Compact"/>
      </w:pPr>
      <w:r>
        <w:rPr>
          <w:bCs/>
          <w:b/>
        </w:rPr>
        <w:t xml:space="preserve">Data Analytics Proficiency:</w:t>
      </w:r>
      <w:r>
        <w:t xml:space="preserve"> </w:t>
      </w:r>
      <w:r>
        <w:t xml:space="preserve">Proficiency in SQL, Python, or specialized ERP systems (like SAP HANA) is increasingly expected.</w:t>
      </w:r>
    </w:p>
    <w:p>
      <w:pPr>
        <w:numPr>
          <w:ilvl w:val="0"/>
          <w:numId w:val="1002"/>
        </w:numPr>
        <w:pStyle w:val="Compact"/>
      </w:pPr>
      <w:r>
        <w:rPr>
          <w:bCs/>
          <w:b/>
        </w:rPr>
        <w:t xml:space="preserve">Ethical Judgment:</w:t>
      </w:r>
      <w:r>
        <w:t xml:space="preserve"> </w:t>
      </w:r>
      <w:r>
        <w:t xml:space="preserve">As regulatory pressures mount, the ability to navigate ethical gray areas with integrity is vital for long-term career sustainability in the Shanghai market.</w:t>
      </w:r>
    </w:p>
    <w:bookmarkEnd w:id="24"/>
    <w:bookmarkStart w:id="26" w:name="case-study"/>
    <w:bookmarkStart w:id="25" w:name="implications-for-education-and-practice"/>
    <w:p>
      <w:pPr>
        <w:pStyle w:val="Heading2"/>
      </w:pPr>
      <w:r>
        <w:t xml:space="preserve">Implications for Education and Practice</w:t>
      </w:r>
    </w:p>
    <w:p>
      <w:pPr>
        <w:pStyle w:val="FirstParagraph"/>
      </w:pPr>
      <w:r>
        <w:t xml:space="preserve">For academic institutions and professional bodies in China, this evolution signifies a need for curriculum reform. Traditional accounting degrees must integrate modules on international tax law, data science, and cross-border finance to prepare students for the realities of working in Shanghai. Professional certification programs (such as CPA China alongside ACCA or CMA) should emphasize practical application over rote memorization.</w:t>
      </w:r>
    </w:p>
    <w:p>
      <w:pPr>
        <w:pStyle w:val="BodyText"/>
      </w:pPr>
      <w:r>
        <w:t xml:space="preserve">For practitioners, continuous professional development (CPD) is no longer optional. The pace of change in Shanghai's regulatory and technological landscape requires accountants to be lifelong learners. Organizations hiring in Shanghai must look beyond technical certifications and assess candidates for adaptability and strategic thinking.</w:t>
      </w:r>
    </w:p>
    <w:p>
      <w:pPr>
        <w:pStyle w:val="BodyText"/>
      </w:pPr>
      <w:r>
        <w:t xml:space="preserve">© 2023 Academic Research on Accounting Practices. | Presented at the International Symposium on Financial Trends.</w:t>
      </w:r>
    </w:p>
    <w:p>
      <w:pPr>
        <w:pStyle w:val="BodyText"/>
      </w:pPr>
      <w:r>
        <w:rPr>
          <w:iCs/>
          <w:i/>
        </w:rPr>
        <w:t xml:space="preserve">Contact: researcher@university.edu.cn | Location Focus: Shanghai, PRC</w:t>
      </w:r>
    </w:p>
    <w:bookmarkEnd w:id="25"/>
    <w:bookmarkEnd w:id="26"/>
    <w:bookmarkEnd w:id="27"/>
    <w:bookmarkEnd w:id="28"/>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Accountant Poster Presentation: China Shanghai Context</dc:title>
  <dc:creator/>
  <dc:language>en</dc:language>
  <cp:keywords/>
  <dcterms:created xsi:type="dcterms:W3CDTF">2026-07-29T05:54:33Z</dcterms:created>
  <dcterms:modified xsi:type="dcterms:W3CDTF">2026-07-29T05:54:33Z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