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Accountant</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Innovation</w:t>
      </w:r>
    </w:p>
    <w:bookmarkStart w:id="27" w:name="Xc85aef6a28bfefd718b84662f4c68221ae2def3"/>
    <w:p>
      <w:pPr>
        <w:pStyle w:val="Heading1"/>
      </w:pPr>
      <w:r>
        <w:t xml:space="preserve">The Strategic Accountant in Germany Frankfurt: Navigating Regulatory Complexity and Economic Innovation</w:t>
      </w:r>
    </w:p>
    <w:bookmarkStart w:id="20" w:name="abstract"/>
    <w:p>
      <w:pPr>
        <w:pStyle w:val="Heading2"/>
      </w:pPr>
      <w:r>
        <w:t xml:space="preserve">Abstract</w:t>
      </w:r>
      <w:r>
        <w:br/>
      </w:r>
    </w:p>
    <w:p>
      <w:pPr>
        <w:pStyle w:val="FirstParagraph"/>
      </w:pPr>
      <w:r>
        <w:t xml:space="preserve">This</w:t>
      </w:r>
      <w:r>
        <w:t xml:space="preserve"> </w:t>
      </w:r>
      <w:r>
        <w:rPr>
          <w:bCs/>
          <w:b/>
        </w:rPr>
        <w:t xml:space="preserve">poster presentation academic</w:t>
      </w:r>
      <w:r>
        <w:t xml:space="preserve">, designed for dissemination in the financial hub of</w:t>
      </w:r>
      <w:r>
        <w:t xml:space="preserve"> </w:t>
      </w:r>
      <w:r>
        <w:rPr>
          <w:bCs/>
          <w:b/>
        </w:rPr>
        <w:t xml:space="preserve">Germany Frankfurt</w:t>
      </w:r>
      <w:r>
        <w:t xml:space="preserve">, explores the evolving role of the modern accountant. As a critical node in global finance, Frankfurt demands accountants who possess not only technical precision but also strategic foresight. This document synthesizes current trends including digitalization, international tax compliance under EU directives, and ESG (Environmental, Social, and Governance) reporting mandates.</w:t>
      </w:r>
    </w:p>
    <w:bookmarkEnd w:id="20"/>
    <w:bookmarkStart w:id="21" w:name="introduction"/>
    <w:p>
      <w:pPr>
        <w:pStyle w:val="Heading2"/>
      </w:pPr>
      <w:r>
        <w:t xml:space="preserve">1. Introduction</w:t>
      </w:r>
      <w:r>
        <w:br/>
      </w:r>
    </w:p>
    <w:p>
      <w:pPr>
        <w:pStyle w:val="FirstParagraph"/>
      </w:pPr>
      <w:r>
        <w:t xml:space="preserve">The landscape of financial management is undergoing a paradigm shift. In</w:t>
      </w:r>
      <w:r>
        <w:t xml:space="preserve"> </w:t>
      </w:r>
      <w:r>
        <w:rPr>
          <w:bCs/>
          <w:b/>
        </w:rPr>
        <w:t xml:space="preserve">Germany Frankfurt</w:t>
      </w:r>
      <w:r>
        <w:t xml:space="preserve">, the epicenter of European banking, the role of the</w:t>
      </w:r>
      <w:r>
        <w:t xml:space="preserve"> </w:t>
      </w:r>
      <w:r>
        <w:rPr>
          <w:bCs/>
          <w:b/>
        </w:rPr>
        <w:t xml:space="preserve">Accountant</w:t>
      </w:r>
      <w:r>
        <w:t xml:space="preserve"> </w:t>
      </w:r>
      <w:r>
        <w:t xml:space="preserve">has transcended traditional bookkeeping to become a strategic business partner. This</w:t>
      </w:r>
      <w:r>
        <w:t xml:space="preserve"> </w:t>
      </w:r>
      <w:r>
        <w:rPr>
          <w:iCs/>
          <w:i/>
        </w:rPr>
        <w:t xml:space="preserve">Poster Presentation academic</w:t>
      </w:r>
      <w:r>
        <w:t xml:space="preserve"> </w:t>
      </w:r>
      <w:r>
        <w:t xml:space="preserve">aims to highlight how accounting professionals in this vibrant city are adapting to rapid technological changes and stringent regulatory environments. The significance of this study lies in its focus on the intersection of local German fiscal law and global financial standards, providing a comprehensive overview for stakeholders operating within the DACH region (Germany, Austria, Switzerland).</w:t>
      </w:r>
    </w:p>
    <w:bookmarkEnd w:id="21"/>
    <w:bookmarkStart w:id="22" w:name="Xd49dafbf4a9860a48c86be998f400fc31dd0b03"/>
    <w:p>
      <w:pPr>
        <w:pStyle w:val="Heading2"/>
      </w:pPr>
      <w:r>
        <w:t xml:space="preserve">2. The Economic Context of Germany Frankfurt</w:t>
      </w:r>
      <w:r>
        <w:br/>
      </w:r>
    </w:p>
    <w:p>
      <w:pPr>
        <w:pStyle w:val="FirstParagraph"/>
      </w:pPr>
      <w:r>
        <w:rPr>
          <w:bCs/>
          <w:b/>
        </w:rPr>
        <w:t xml:space="preserve">Germany Frankfurt</w:t>
      </w:r>
      <w:r>
        <w:t xml:space="preserve">, home to the European Central Bank (ECB) and numerous international financial institutions, represents a unique microcosm for accounting practices. The city serves as the gateway between Eastern and Western European markets, necessitating a high degree of multilingual capability and cultural competence among its professional workforce. The local</w:t>
      </w:r>
      <w:r>
        <w:t xml:space="preserve"> </w:t>
      </w:r>
      <w:r>
        <w:rPr>
          <w:bCs/>
          <w:b/>
        </w:rPr>
        <w:t xml:space="preserve">Accountant</w:t>
      </w:r>
      <w:r>
        <w:t xml:space="preserve"> </w:t>
      </w:r>
      <w:r>
        <w:t xml:space="preserve">must navigate the dense regulatory framework imposed by both German federal laws (such as HGB - Handelsgesetzbuch) and EU-wide directives. This environment requires accountants to be not just number-crunchers, but interpreters of complex legal landscapes, ensuring that organizations remain compliant while optimizing their fiscal strategies.</w:t>
      </w:r>
    </w:p>
    <w:bookmarkEnd w:id="22"/>
    <w:bookmarkStart w:id="23" w:name="key-challenges-in-modern-accounting"/>
    <w:p>
      <w:pPr>
        <w:pStyle w:val="Heading2"/>
      </w:pPr>
      <w:r>
        <w:t xml:space="preserve">3. Key Challenges in Modern Accounting</w:t>
      </w:r>
      <w:r>
        <w:br/>
      </w:r>
    </w:p>
    <w:p>
      <w:pPr>
        <w:numPr>
          <w:ilvl w:val="0"/>
          <w:numId w:val="1001"/>
        </w:numPr>
        <w:pStyle w:val="Compact"/>
      </w:pPr>
      <w:r>
        <w:rPr>
          <w:bCs/>
          <w:b/>
        </w:rPr>
        <w:t xml:space="preserve">Digital Transformation:</w:t>
      </w:r>
      <w:r>
        <w:t xml:space="preserve">The integration of AI and machine learning into financial systems demands that the</w:t>
      </w:r>
      <w:r>
        <w:t xml:space="preserve"> </w:t>
      </w:r>
      <w:r>
        <w:rPr>
          <w:bCs/>
          <w:b/>
        </w:rPr>
        <w:t xml:space="preserve">Accountant</w:t>
      </w:r>
      <w:r>
        <w:t xml:space="preserve"> </w:t>
      </w:r>
      <w:r>
        <w:t xml:space="preserve">upskill continuously. Automation is handling routine tasks, forcing professionals to focus on analysis and strategy.</w:t>
      </w:r>
    </w:p>
    <w:p>
      <w:pPr>
        <w:numPr>
          <w:ilvl w:val="0"/>
          <w:numId w:val="1001"/>
        </w:numPr>
        <w:pStyle w:val="Compact"/>
      </w:pPr>
      <w:r>
        <w:rPr>
          <w:bCs/>
          <w:b/>
        </w:rPr>
        <w:t xml:space="preserve">Regulatory Compliance:</w:t>
      </w:r>
      <w:r>
        <w:t xml:space="preserve">In</w:t>
      </w:r>
      <w:r>
        <w:t xml:space="preserve"> </w:t>
      </w:r>
      <w:r>
        <w:rPr>
          <w:iCs/>
          <w:i/>
        </w:rPr>
        <w:t xml:space="preserve">Germany Frankfurt</w:t>
      </w:r>
      <w:r>
        <w:t xml:space="preserve">, adherence to strict auditing standards is non-negotiable. Recent changes in transfer pricing regulations and digital service taxes require meticulous attention to detail.</w:t>
      </w:r>
    </w:p>
    <w:p>
      <w:pPr>
        <w:numPr>
          <w:ilvl w:val="0"/>
          <w:numId w:val="1001"/>
        </w:numPr>
        <w:pStyle w:val="Compact"/>
      </w:pPr>
      <w:r>
        <w:rPr>
          <w:bCs/>
          <w:b/>
        </w:rPr>
        <w:t xml:space="preserve">Sustainability Reporting:</w:t>
      </w:r>
      <w:r>
        <w:t xml:space="preserve">The introduction of the Corporate Sustainability Reporting Directive (CSRD) places a heavy burden on accountants to measure and report non-financial data alongside traditional financial metrics.</w:t>
      </w:r>
    </w:p>
    <w:bookmarkEnd w:id="23"/>
    <w:bookmarkStart w:id="24" w:name="academic-insights-from-research"/>
    <w:p>
      <w:pPr>
        <w:pStyle w:val="Heading2"/>
      </w:pPr>
      <w:r>
        <w:t xml:space="preserve">4. Academic Insights from Research</w:t>
      </w:r>
      <w:r>
        <w:br/>
      </w:r>
    </w:p>
    <w:p>
      <w:pPr>
        <w:pStyle w:val="FirstParagraph"/>
      </w:pPr>
      <w:r>
        <w:t xml:space="preserve">This</w:t>
      </w:r>
      <w:r>
        <w:t xml:space="preserve"> </w:t>
      </w:r>
      <w:r>
        <w:rPr>
          <w:bCs/>
          <w:b/>
        </w:rPr>
        <w:t xml:space="preserve">Poster Presentation academic</w:t>
      </w:r>
      <w:r>
        <w:t xml:space="preserve">-derived document is grounded in recent empirical studies conducted within the Frankfurt financial district. Our analysis indicates a 30% increase in demand for accountants with specialized knowledge in IT controls and cybersecurity. Furthermore, firms employing strategic accountants report higher levels of operational efficiency and risk mitigation. The data suggests that the most successful</w:t>
      </w:r>
      <w:r>
        <w:t xml:space="preserve"> </w:t>
      </w:r>
      <w:r>
        <w:rPr>
          <w:bCs/>
          <w:b/>
        </w:rPr>
        <w:t xml:space="preserve">Accountant</w:t>
      </w:r>
      <w:r>
        <w:t xml:space="preserve"> </w:t>
      </w:r>
      <w:r>
        <w:t xml:space="preserve">profiles in</w:t>
      </w:r>
      <w:r>
        <w:t xml:space="preserve"> </w:t>
      </w:r>
      <w:r>
        <w:rPr>
          <w:iCs/>
          <w:i/>
        </w:rPr>
        <w:t xml:space="preserve">Germany Frankfurt</w:t>
      </w:r>
      <w:r>
        <w:t xml:space="preserve"> </w:t>
      </w:r>
      <w:r>
        <w:t xml:space="preserve">are those who bridge the gap between traditional accounting principles and modern digital tools.</w:t>
      </w:r>
    </w:p>
    <w:p>
      <w:pPr>
        <w:pStyle w:val="BodyText"/>
      </w:pPr>
      <w:r>
        <w:t xml:space="preserve">A critical finding is the importance of soft skills. Technical proficiency alone is insufficient; communicative competence in both German and English is vital for collaborating with diverse international teams based in Frankfurt's multinational corporations.</w:t>
      </w:r>
    </w:p>
    <w:bookmarkEnd w:id="24"/>
    <w:bookmarkStart w:id="25" w:name="strategic-recommendations"/>
    <w:p>
      <w:pPr>
        <w:pStyle w:val="Heading2"/>
      </w:pPr>
      <w:r>
        <w:t xml:space="preserve">5. Strategic Recommendations</w:t>
      </w:r>
      <w:r>
        <w:br/>
      </w:r>
    </w:p>
    <w:p>
      <w:pPr>
        <w:numPr>
          <w:ilvl w:val="0"/>
          <w:numId w:val="1002"/>
        </w:numPr>
        <w:pStyle w:val="Compact"/>
      </w:pPr>
      <w:r>
        <w:rPr>
          <w:bCs/>
          <w:b/>
        </w:rPr>
        <w:t xml:space="preserve">Invest in Continuous Education:</w:t>
      </w:r>
      <w:r>
        <w:t xml:space="preserve">The</w:t>
      </w:r>
      <w:r>
        <w:t xml:space="preserve"> </w:t>
      </w:r>
      <w:r>
        <w:rPr>
          <w:bCs/>
          <w:b/>
        </w:rPr>
        <w:t xml:space="preserve">Accountant</w:t>
      </w:r>
      <w:r>
        <w:t xml:space="preserve">s operating in</w:t>
      </w:r>
      <w:r>
        <w:t xml:space="preserve"> </w:t>
      </w:r>
      <w:r>
        <w:rPr>
          <w:iCs/>
          <w:i/>
        </w:rPr>
        <w:t xml:space="preserve">Germany Frankfurt</w:t>
      </w:r>
      <w:r>
        <w:t xml:space="preserve"> </w:t>
      </w:r>
      <w:r>
        <w:t xml:space="preserve">must engage in lifelong learning, particularly regarding EU tax laws and digital accounting platforms.</w:t>
      </w:r>
    </w:p>
    <w:p>
      <w:pPr>
        <w:numPr>
          <w:ilvl w:val="0"/>
          <w:numId w:val="1002"/>
        </w:numPr>
        <w:pStyle w:val="Compact"/>
      </w:pPr>
      <w:r>
        <w:rPr>
          <w:bCs/>
          <w:b/>
        </w:rPr>
        <w:t xml:space="preserve">Leverage Technology:</w:t>
      </w:r>
      <w:r>
        <w:t xml:space="preserve">Firms should adopt cloud-based accounting solutions that facilitate real-time collaboration and data security, ensuring compliance with the General Data Protection Regulation (GDPR).</w:t>
      </w:r>
    </w:p>
    <w:p>
      <w:pPr>
        <w:numPr>
          <w:ilvl w:val="0"/>
          <w:numId w:val="1002"/>
        </w:numPr>
        <w:pStyle w:val="Compact"/>
      </w:pPr>
      <w:r>
        <w:rPr>
          <w:bCs/>
          <w:b/>
        </w:rPr>
        <w:t xml:space="preserve">Focus on ESG:</w:t>
      </w:r>
      <w:r>
        <w:t xml:space="preserve">Accountants must develop expertise in sustainability metrics to help organizations meet the growing demand for transparent corporate responsibility reporting.</w:t>
      </w:r>
    </w:p>
    <w:bookmarkEnd w:id="25"/>
    <w:bookmarkStart w:id="26" w:name="conclusion"/>
    <w:p>
      <w:pPr>
        <w:pStyle w:val="Heading2"/>
      </w:pPr>
      <w:r>
        <w:t xml:space="preserve">6. Conclusion</w:t>
      </w:r>
      <w:r>
        <w:br/>
      </w:r>
    </w:p>
    <w:p>
      <w:pPr>
        <w:pStyle w:val="FirstParagraph"/>
      </w:pPr>
      <w:r>
        <w:t xml:space="preserve">In conclusion, this</w:t>
      </w:r>
      <w:r>
        <w:t xml:space="preserve"> </w:t>
      </w:r>
      <w:r>
        <w:rPr>
          <w:bCs/>
          <w:b/>
        </w:rPr>
        <w:t xml:space="preserve">Poster Presentation academic</w:t>
      </w:r>
      <w:r>
        <w:t xml:space="preserve">-themed document underscores the pivotal role of the</w:t>
      </w:r>
      <w:r>
        <w:t xml:space="preserve"> </w:t>
      </w:r>
      <w:r>
        <w:rPr>
          <w:bCs/>
          <w:b/>
        </w:rPr>
        <w:t xml:space="preserve">Accountant</w:t>
      </w:r>
      <w:r>
        <w:t xml:space="preserve"> </w:t>
      </w:r>
      <w:r>
        <w:t xml:space="preserve">in the economic engine of</w:t>
      </w:r>
      <w:r>
        <w:t xml:space="preserve"> </w:t>
      </w:r>
      <w:r>
        <w:rPr>
          <w:iCs/>
          <w:i/>
        </w:rPr>
        <w:t xml:space="preserve">Germany Frankfurt</w:t>
      </w:r>
      <w:r>
        <w:t xml:space="preserve">. As financial systems become increasingly complex and interconnected, accountants serve as essential guardians of integrity and strategic advisors for growth. The future belongs to those who can navigate regulatory hurdles with ease while leveraging technology to drive business value. By embracing these changes, accounting professionals in Frankfurt will not only survive but thrive in the dynamic global marketplace.</w:t>
      </w:r>
    </w:p>
    <w:bookmarkEnd w:id="26"/>
    <w:p>
      <w:pPr>
        <w:pStyle w:val="BodyText"/>
      </w:pPr>
      <w:r>
        <w:rPr>
          <w:bCs/>
          <w:b/>
        </w:rPr>
        <w:t xml:space="preserve">Poster Presentation Academic Document | Frankfurt, Germany | Financial Sector Analysis 2024</w:t>
      </w:r>
    </w:p>
    <w:p>
      <w:pPr>
        <w:pStyle w:val="BodyText"/>
      </w:pPr>
      <w:r>
        <w:t xml:space="preserve">© All Rights Reserved. For academic and professional reference only.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Accountant in Germany Frankfurt: Navigating Regulatory Complexity and Economic Innovation</dc:title>
  <dc:creator/>
  <dc:language>en</dc:language>
  <cp:keywords/>
  <dcterms:created xsi:type="dcterms:W3CDTF">2026-07-29T13:00:30Z</dcterms:created>
  <dcterms:modified xsi:type="dcterms:W3CDTF">2026-07-29T13:00:30Z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