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Accountant</w:t>
      </w:r>
      <w:r>
        <w:t xml:space="preserve"> </w:t>
      </w:r>
      <w:r>
        <w:t xml:space="preserve">in</w:t>
      </w:r>
      <w:r>
        <w:t xml:space="preserve"> </w:t>
      </w:r>
      <w:r>
        <w:t xml:space="preserve">Johannesburg:</w:t>
      </w:r>
      <w:r>
        <w:t xml:space="preserve"> </w:t>
      </w:r>
      <w:r>
        <w:t xml:space="preserve">Strategic</w:t>
      </w:r>
      <w:r>
        <w:t xml:space="preserve"> </w:t>
      </w:r>
      <w:r>
        <w:t xml:space="preserve">Value</w:t>
      </w:r>
      <w:r>
        <w:t xml:space="preserve"> </w:t>
      </w:r>
      <w:r>
        <w:t xml:space="preserve">in</w:t>
      </w:r>
      <w:r>
        <w:t xml:space="preserve"> </w:t>
      </w:r>
      <w:r>
        <w:t xml:space="preserve">a</w:t>
      </w:r>
      <w:r>
        <w:t xml:space="preserve"> </w:t>
      </w:r>
      <w:r>
        <w:t xml:space="preserve">Complex</w:t>
      </w:r>
      <w:r>
        <w:t xml:space="preserve"> </w:t>
      </w:r>
      <w:r>
        <w:t xml:space="preserve">Regulatory</w:t>
      </w:r>
      <w:r>
        <w:t xml:space="preserve"> </w:t>
      </w:r>
      <w:r>
        <w:t xml:space="preserve">Environment</w:t>
      </w:r>
    </w:p>
    <w:bookmarkStart w:id="20" w:name="Xa33ef7752b637dddfc06851fe5f4cb38e984c96"/>
    <w:p>
      <w:pPr>
        <w:pStyle w:val="Heading1"/>
      </w:pPr>
      <w:r>
        <w:t xml:space="preserve">The Evolving Role of the Accountant in Johannesburg</w:t>
      </w:r>
    </w:p>
    <w:p>
      <w:pPr>
        <w:pStyle w:val="FirstParagraph"/>
      </w:pPr>
      <w:r>
        <w:rPr>
          <w:bCs/>
          <w:b/>
        </w:rPr>
        <w:t xml:space="preserve">Bridging Technical Precision, Strategic Advisory, and Regulatory Compliance in South Africa’s Economic Hub</w:t>
      </w:r>
    </w:p>
    <w:p>
      <w:pPr>
        <w:pStyle w:val="BodyText"/>
      </w:pPr>
      <w:r>
        <w:rPr>
          <w:iCs/>
          <w:i/>
        </w:rPr>
        <w:t xml:space="preserve">A Poster Presentation Overview for Academic and Professional Review</w:t>
      </w:r>
    </w:p>
    <w:bookmarkEnd w:id="20"/>
    <w:bookmarkStart w:id="21" w:name="abstract"/>
    <w:p>
      <w:pPr>
        <w:pStyle w:val="Heading3"/>
      </w:pPr>
      <w:r>
        <w:t xml:space="preserve">Abstract</w:t>
      </w:r>
    </w:p>
    <w:p>
      <w:pPr>
        <w:pStyle w:val="FirstParagraph"/>
      </w:pPr>
      <w:r>
        <w:t xml:space="preserve">This poster presentation explores the multifaceted role of the modern</w:t>
      </w:r>
      <w:r>
        <w:t xml:space="preserve"> </w:t>
      </w:r>
      <w:r>
        <w:rPr>
          <w:bCs/>
          <w:b/>
        </w:rPr>
        <w:t xml:space="preserve">Accountant in South Africa Johannesburg</w:t>
      </w:r>
      <w:r>
        <w:t xml:space="preserve">. As the economic heartbeat of the continent, Johannesburg presents a unique landscape characterized by rapid digital transformation, complex legislative frameworks, and a demand for strategic financial stewardship. This document argues that contemporary accountants must transcend traditional bookkeeping to become strategic partners capable of navigating the intricacies of South African tax law (SARS), International Financial Reporting Standards (IFRS), and corporate governance mandates such as King IV.</w:t>
      </w:r>
    </w:p>
    <w:bookmarkEnd w:id="21"/>
    <w:bookmarkStart w:id="24" w:name="the-johannesburg-economic-context"/>
    <w:p>
      <w:pPr>
        <w:pStyle w:val="Heading2"/>
      </w:pPr>
      <w:r>
        <w:t xml:space="preserve">The Johannesburg Economic Context</w:t>
      </w:r>
    </w:p>
    <w:p>
      <w:pPr>
        <w:pStyle w:val="FirstParagraph"/>
      </w:pPr>
      <w:r>
        <w:t xml:space="preserve">Johannesburg, often referred to as "Egoli" or the City of Gold, serves as the financial capital of South Africa. For an accountant operating in this region, the environment is both dynamic and demanding. The local economy is deeply integrated with global markets, yet it remains sensitive to domestic political shifts and resource fluctuations.</w:t>
      </w:r>
    </w:p>
    <w:bookmarkStart w:id="22" w:name="key-challenges-for-accountants"/>
    <w:p>
      <w:pPr>
        <w:pStyle w:val="Heading3"/>
      </w:pPr>
      <w:r>
        <w:t xml:space="preserve">Key Challenges for Accountants:</w:t>
      </w:r>
    </w:p>
    <w:p>
      <w:pPr>
        <w:numPr>
          <w:ilvl w:val="0"/>
          <w:numId w:val="1001"/>
        </w:numPr>
        <w:pStyle w:val="Compact"/>
      </w:pPr>
      <w:r>
        <w:rPr>
          <w:bCs/>
          <w:b/>
        </w:rPr>
        <w:t xml:space="preserve">Economic Volatility:</w:t>
      </w:r>
      <w:r>
        <w:t xml:space="preserve"> </w:t>
      </w:r>
      <w:r>
        <w:t xml:space="preserve">Navigating inflation rates and currency fluctuation (ZAR) requires agile financial forecasting.</w:t>
      </w:r>
    </w:p>
    <w:p>
      <w:pPr>
        <w:numPr>
          <w:ilvl w:val="0"/>
          <w:numId w:val="1001"/>
        </w:numPr>
        <w:pStyle w:val="Compact"/>
      </w:pPr>
      <w:r>
        <w:rPr>
          <w:bCs/>
          <w:b/>
        </w:rPr>
        <w:t xml:space="preserve">Digital Disruption:</w:t>
      </w:r>
      <w:r>
        <w:t xml:space="preserve"> </w:t>
      </w:r>
      <w:r>
        <w:t xml:space="preserve">The integration of AI, Big Data, and cloud-based ERP systems in Sandton’s corporate towers is rendering manual processes obsolete.</w:t>
      </w:r>
    </w:p>
    <w:p>
      <w:pPr>
        <w:numPr>
          <w:ilvl w:val="0"/>
          <w:numId w:val="1001"/>
        </w:numPr>
        <w:pStyle w:val="Compact"/>
      </w:pPr>
      <w:r>
        <w:rPr>
          <w:bCs/>
          <w:b/>
        </w:rPr>
        <w:t xml:space="preserve">Skills Gap:</w:t>
      </w:r>
      <w:r>
        <w:t xml:space="preserve"> </w:t>
      </w:r>
      <w:r>
        <w:t xml:space="preserve">There is a critical need for accountants who possess not only technical expertise but also soft skills like communication and strategic thinking.</w:t>
      </w:r>
    </w:p>
    <w:bookmarkEnd w:id="22"/>
    <w:bookmarkStart w:id="23" w:name="the-importance-of-the-local-ecosystem"/>
    <w:p>
      <w:pPr>
        <w:pStyle w:val="Heading3"/>
      </w:pPr>
      <w:r>
        <w:t xml:space="preserve">The Importance of the Local Ecosystem</w:t>
      </w:r>
    </w:p>
    <w:p>
      <w:pPr>
        <w:pStyle w:val="FirstParagraph"/>
      </w:pPr>
      <w:r>
        <w:t xml:space="preserve">The ecosystem of an</w:t>
      </w:r>
      <w:r>
        <w:t xml:space="preserve"> </w:t>
      </w:r>
      <w:r>
        <w:rPr>
          <w:bCs/>
          <w:b/>
        </w:rPr>
        <w:t xml:space="preserve">Accountant in South Africa Johannesburg</w:t>
      </w:r>
      <w:r>
        <w:t xml:space="preserve"> </w:t>
      </w:r>
      <w:r>
        <w:t xml:space="preserve">is supported by robust professional bodies such as SAICA (South African Institute of Chartered Accountants) and CIMA. These organizations provide the rigorous framework necessary to maintain international standards while addressing local socio-economic realities.</w:t>
      </w:r>
    </w:p>
    <w:bookmarkEnd w:id="23"/>
    <w:bookmarkEnd w:id="24"/>
    <w:bookmarkStart w:id="27" w:name="the-shift-from-compliance-to-advisory"/>
    <w:p>
      <w:pPr>
        <w:pStyle w:val="Heading3"/>
      </w:pPr>
      <w:r>
        <w:t xml:space="preserve">The Shift from Compliance to Advisory</w:t>
      </w:r>
    </w:p>
    <w:p>
      <w:pPr>
        <w:pStyle w:val="FirstParagraph"/>
      </w:pPr>
      <w:r>
        <w:t xml:space="preserve">The traditional definition of an accountant has shifted dramatically. Today, the value proposition lies in data interpretation rather than data entry. For businesses in Johannesburg, the accountant acts as a navigator through regulatory thickets.</w:t>
      </w:r>
    </w:p>
    <w:bookmarkStart w:id="25" w:name="regulatory-complexity"/>
    <w:p>
      <w:pPr>
        <w:pStyle w:val="Heading4"/>
      </w:pPr>
      <w:r>
        <w:t xml:space="preserve">Regulatory Complexity</w:t>
      </w:r>
    </w:p>
    <w:p>
      <w:pPr>
        <w:pStyle w:val="FirstParagraph"/>
      </w:pPr>
      <w:r>
        <w:t xml:space="preserve">In South Africa, compliance is non-negotiable. The role involves rigorous adherence to:</w:t>
      </w:r>
    </w:p>
    <w:p>
      <w:pPr>
        <w:numPr>
          <w:ilvl w:val="0"/>
          <w:numId w:val="1002"/>
        </w:numPr>
        <w:pStyle w:val="Compact"/>
      </w:pPr>
      <w:r>
        <w:rPr>
          <w:bCs/>
          <w:b/>
        </w:rPr>
        <w:t xml:space="preserve">SARS Requirements:</w:t>
      </w:r>
      <w:r>
        <w:t xml:space="preserve"> </w:t>
      </w:r>
      <w:r>
        <w:t xml:space="preserve">Understanding the nuances of Income Tax, VAT, PAYE, and the ongoing implementation of electronic filing (eFiling) mandates.</w:t>
      </w:r>
    </w:p>
    <w:p>
      <w:pPr>
        <w:numPr>
          <w:ilvl w:val="0"/>
          <w:numId w:val="1002"/>
        </w:numPr>
        <w:pStyle w:val="Compact"/>
      </w:pPr>
      <w:r>
        <w:rPr>
          <w:bCs/>
          <w:b/>
        </w:rPr>
        <w:t xml:space="preserve">IFRS Standards:</w:t>
      </w:r>
      <w:r>
        <w:t xml:space="preserve"> </w:t>
      </w:r>
      <w:r>
        <w:t xml:space="preserve">Ensuring financial statements meet international benchmarks to attract foreign investment into Gauteng.</w:t>
      </w:r>
    </w:p>
    <w:p>
      <w:pPr>
        <w:numPr>
          <w:ilvl w:val="0"/>
          <w:numId w:val="1002"/>
        </w:numPr>
        <w:pStyle w:val="Compact"/>
      </w:pPr>
      <w:r>
        <w:rPr>
          <w:bCs/>
          <w:b/>
        </w:rPr>
        <w:t xml:space="preserve">B-BBEE Compliance:</w:t>
      </w:r>
      <w:r>
        <w:t xml:space="preserve"> </w:t>
      </w:r>
      <w:r>
        <w:t xml:space="preserve">Understanding Broad-Based Black Economic Empowerment codes, which are essential for corporate survival and procurement eligibility in South Africa.</w:t>
      </w:r>
    </w:p>
    <w:bookmarkEnd w:id="25"/>
    <w:bookmarkStart w:id="26" w:name="digital-transformation"/>
    <w:p>
      <w:pPr>
        <w:pStyle w:val="Heading4"/>
      </w:pPr>
      <w:r>
        <w:t xml:space="preserve">Digital Transformation</w:t>
      </w:r>
    </w:p>
    <w:p>
      <w:pPr>
        <w:pStyle w:val="FirstParagraph"/>
      </w:pPr>
      <w:r>
        <w:t xml:space="preserve">Johannesburg is increasingly becoming a fintech hub. Modern accountants must leverage technologies such as Xero, Sage, and SAP Business One. This technological proficiency allows for real-time reporting, enabling business owners in Sandton and Midrand to make informed decisions instantly.</w:t>
      </w:r>
    </w:p>
    <w:bookmarkEnd w:id="26"/>
    <w:bookmarkEnd w:id="27"/>
    <w:bookmarkStart w:id="28" w:name="X6b738b5cf5de05f733f9c852d9fd1535d38ce4b"/>
    <w:p>
      <w:pPr>
        <w:pStyle w:val="Heading2"/>
      </w:pPr>
      <w:r>
        <w:t xml:space="preserve">Critical Competencies for the Modern Johannesburg Accountant</w:t>
      </w:r>
    </w:p>
    <w:p>
      <w:pPr>
        <w:pStyle w:val="FirstParagraph"/>
      </w:pPr>
      <w:r>
        <w:t xml:space="preserve">To thrive in this environment, an aspiring or current accountant must cultivate a diverse skill set. The following table outlines the essential pillars of professional competence:</w:t>
      </w:r>
    </w:p>
    <w:p>
      <w:pPr>
        <w:pStyle w:val="BodyText"/>
      </w:pPr>
      <w:r>
        <w:t xml:space="preserve">Competency Area</w:t>
      </w:r>
    </w:p>
    <w:bookmarkEnd w:id="28"/>
    <w:p>
      <w:pPr>
        <w:pStyle w:val="BodyText"/>
      </w:pPr>
      <w:r>
        <w:t xml:space="preserve">Description</w:t>
      </w:r>
    </w:p>
    <w:p>
      <w:pPr>
        <w:pStyle w:val="BodyText"/>
      </w:pPr>
      <w:r>
        <w:t xml:space="preserve">Relevance to South Africa Johannesburg</w:t>
      </w:r>
    </w:p>
    <w:p>
      <w:pPr>
        <w:pStyle w:val="BodyText"/>
      </w:pPr>
      <w:r>
        <w:t xml:space="preserve">To thrive in this environment, an aspiring or current accountant must cultivate a diverse skill set. The following table outlines the essential pillars of professional competence:</w:t>
      </w:r>
    </w:p>
    <w:p>
      <w:pPr>
        <w:pStyle w:val="BodyText"/>
      </w:pPr>
      <w:r>
        <w:t xml:space="preserve">Competency Area</w:t>
      </w:r>
    </w:p>
    <w:p>
      <w:pPr>
        <w:pStyle w:val="BodyText"/>
      </w:pPr>
      <w:r>
        <w:t xml:space="preserve">Description</w:t>
      </w:r>
    </w:p>
    <w:p>
      <w:pPr>
        <w:pStyle w:val="BodyText"/>
      </w:pPr>
      <w:r>
        <w:t xml:space="preserve">Relevance to South Africa Johannesburg</w:t>
      </w:r>
    </w:p>
    <w:p>
      <w:pPr>
        <w:pStyle w:val="BodyText"/>
      </w:pPr>
      <w:r>
        <w:t xml:space="preserve">Technical Expertise</w:t>
      </w:r>
    </w:p>
    <w:p>
      <w:pPr>
        <w:pStyle w:val="BodyText"/>
      </w:pPr>
      <w:r>
        <w:t xml:space="preserve">Mastery of accounting standards (IFRS, IAS) and taxation laws.</w:t>
      </w:r>
    </w:p>
    <w:p>
      <w:pPr>
        <w:pStyle w:val="BodyText"/>
      </w:pPr>
      <w:r>
        <w:t xml:space="preserve">Critical for maintaining trust with SARS and international investors in the JSE-listed sector.</w:t>
      </w:r>
    </w:p>
    <w:p>
      <w:pPr>
        <w:pStyle w:val="BodyText"/>
      </w:pPr>
      <w:r>
        <w:t xml:space="preserve">Strategic Advisory</w:t>
      </w:r>
    </w:p>
    <w:p>
      <w:pPr>
        <w:pStyle w:val="BodyText"/>
      </w:pPr>
      <w:r>
        <w:t xml:space="preserve">Able to provide forward-looking financial insights and risk management strategies.</w:t>
      </w:r>
    </w:p>
    <w:p>
      <w:pPr>
        <w:pStyle w:val="BodyText"/>
      </w:pPr>
      <w:r>
        <w:t xml:space="preserve">B-EE transformation planning, business continuity during load-shedding periods, and cost optimization.</w:t>
      </w:r>
    </w:p>
    <w:p>
      <w:pPr>
        <w:pStyle w:val="BodyText"/>
      </w:pPr>
      <w:r>
        <w:t xml:space="preserve">Technological Proficiency</w:t>
      </w:r>
    </w:p>
    <w:p>
      <w:pPr>
        <w:pStyle w:val="BodyText"/>
      </w:pPr>
      <w:r>
        <w:t xml:space="preserve">Digital literacy including data analytics, cloud computing, and cybersecurity awareness.</w:t>
      </w:r>
    </w:p>
    <w:p>
      <w:pPr>
        <w:pStyle w:val="BodyText"/>
      </w:pPr>
      <w:r>
        <w:t xml:space="preserve">Johannesburg is digitizing rapidly; firms must secure client data and streamline workflows via automation.</w:t>
      </w:r>
    </w:p>
    <w:p>
      <w:pPr>
        <w:pStyle w:val="BodyText"/>
      </w:pPr>
      <w:r>
        <w:t xml:space="preserve">Ethical Leadership</w:t>
      </w:r>
    </w:p>
    <w:p>
      <w:pPr>
        <w:pStyle w:val="BodyText"/>
      </w:pPr>
      <w:r>
        <w:t xml:space="preserve">Integrity, objectivity, and professional behavior in line with King IV Code of Corporate Governance.</w:t>
      </w:r>
    </w:p>
    <w:p>
      <w:pPr>
        <w:pStyle w:val="BodyText"/>
      </w:pPr>
      <w:r>
        <w:t xml:space="preserve">Mitigating risks associated with corruption and ensuring transparent reporting for stakeholders.</w:t>
      </w:r>
    </w:p>
    <w:bookmarkStart w:id="29" w:name="conclusion"/>
    <w:p>
      <w:pPr>
        <w:pStyle w:val="Heading2"/>
      </w:pPr>
      <w:r>
        <w:t xml:space="preserve">Conclusion</w:t>
      </w:r>
    </w:p>
    <w:p>
      <w:pPr>
        <w:pStyle w:val="FirstParagraph"/>
      </w:pPr>
      <w:r>
        <w:t xml:space="preserve">The role of the</w:t>
      </w:r>
      <w:r>
        <w:t xml:space="preserve"> </w:t>
      </w:r>
      <w:r>
        <w:rPr>
          <w:bCs/>
          <w:b/>
        </w:rPr>
        <w:t xml:space="preserve">Accountant in South Africa Johannesburg</w:t>
      </w:r>
      <w:r>
        <w:t xml:space="preserve"> </w:t>
      </w:r>
      <w:r>
        <w:t xml:space="preserve">is no longer confined to the back office. It is a dynamic, front-line function that drives economic stability and growth. As we look to the future, accountants must embrace their identity as strategic business partners who understand the local regulatory landscape while leveraging global best practices.</w:t>
      </w:r>
    </w:p>
    <w:p>
      <w:pPr>
        <w:pStyle w:val="BodyText"/>
      </w:pPr>
      <w:r>
        <w:t xml:space="preserve">For academic institutions and professional bodies in Johannesburg, there is a clear mandate: curricula must evolve to include data analytics, ethical leadership under King IV, and deep statutory knowledge of South African law. By doing so, we ensure that the next generation of accountants is equipped to sustain the economic vitality of South Africa’s most important city.</w:t>
      </w:r>
    </w:p>
    <w:p>
      <w:pPr>
        <w:pStyle w:val="BodyText"/>
      </w:pPr>
      <w:r>
        <w:rPr>
          <w:bCs/>
          <w:b/>
        </w:rPr>
        <w:t xml:space="preserve">References:</w:t>
      </w:r>
    </w:p>
    <w:p>
      <w:pPr>
        <w:numPr>
          <w:ilvl w:val="0"/>
          <w:numId w:val="1003"/>
        </w:numPr>
        <w:pStyle w:val="Compact"/>
      </w:pPr>
      <w:r>
        <w:t xml:space="preserve">South African Institute of Chartered Accountants (SAICA). (2023). *Strategic Leadership and Digital Transformation*.</w:t>
      </w:r>
    </w:p>
    <w:p>
      <w:pPr>
        <w:numPr>
          <w:ilvl w:val="0"/>
          <w:numId w:val="1003"/>
        </w:numPr>
        <w:pStyle w:val="Compact"/>
      </w:pPr>
      <w:r>
        <w:t xml:space="preserve">Pillay, N., &amp; van der Walt, S. (2021). *The Impact of B-BBEE on Financial Reporting in Johannesburg*. Journal of South African Accounting Review.</w:t>
      </w:r>
    </w:p>
    <w:p>
      <w:pPr>
        <w:numPr>
          <w:ilvl w:val="0"/>
          <w:numId w:val="1003"/>
        </w:numPr>
        <w:pStyle w:val="Compact"/>
      </w:pPr>
      <w:r>
        <w:t xml:space="preserve">Johannesburg Stock Exchange (JSE). (2024). *Listing Requirements and Corporate Governance*.</w:t>
      </w:r>
    </w:p>
    <w:p>
      <w:pPr>
        <w:numPr>
          <w:ilvl w:val="0"/>
          <w:numId w:val="1003"/>
        </w:numPr>
        <w:pStyle w:val="Compact"/>
      </w:pPr>
      <w:r>
        <w:t xml:space="preserve">South African Revenue Service. (2023). *Tax Guide for Small and Medium Enterprises*.</w:t>
      </w:r>
    </w:p>
    <w:p>
      <w:pPr>
        <w:pStyle w:val="FirstParagraph"/>
      </w:pPr>
      <w:r>
        <w:br/>
      </w:r>
    </w:p>
    <w:p>
      <w:pPr>
        <w:pStyle w:val="BodyText"/>
      </w:pPr>
      <w:r>
        <w:rPr>
          <w:bCs/>
          <w:b/>
        </w:rPr>
        <w:t xml:space="preserve">Contact:</w:t>
      </w:r>
      <w:r>
        <w:br/>
      </w:r>
      <w:r>
        <w:t xml:space="preserve">Email: research@accountantstudyza.co.za</w:t>
      </w:r>
      <w:r>
        <w:br/>
      </w:r>
      <w:r>
        <w:t xml:space="preserve">Institutional Affiliation: Department of Accounting Sciences, Johannesburg University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Accountant in Johannesburg: Strategic Value in a Complex Regulatory Environment</dc:title>
  <dc:creator/>
  <dc:language>en</dc:language>
  <cp:keywords/>
  <dcterms:created xsi:type="dcterms:W3CDTF">2026-07-29T19:20:24Z</dcterms:created>
  <dcterms:modified xsi:type="dcterms:W3CDTF">2026-07-29T19:20:24Z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