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d2ab66308f597d108999772fdf28a4bb58900b0"/>
    <w:p>
      <w:pPr>
        <w:pStyle w:val="Heading1"/>
      </w:pPr>
      <w:r>
        <w:t xml:space="preserve">The Strategic Transformation of the Accountant in United Arab Emirates Dubai: Navigating Regulatory Compliance, Digitalization, and Economic Vision 2030</w:t>
      </w:r>
    </w:p>
    <w:p>
      <w:pPr>
        <w:pStyle w:val="FirstParagraph"/>
      </w:pPr>
      <w:r>
        <w:rPr>
          <w:bCs/>
          <w:b/>
        </w:rPr>
        <w:t xml:space="preserve">Author:</w:t>
      </w:r>
      <w:r>
        <w:t xml:space="preserve"> </w:t>
      </w:r>
      <w:r>
        <w:t xml:space="preserve">[Your Name/Researcher ID]  | </w:t>
      </w:r>
      <w:r>
        <w:t xml:space="preserve"> </w:t>
      </w:r>
      <w:r>
        <w:rPr>
          <w:bCs/>
          <w:b/>
        </w:rPr>
        <w:t xml:space="preserve">Institution:</w:t>
      </w:r>
      <w:r>
        <w:t xml:space="preserve"> </w:t>
      </w:r>
      <w:r>
        <w:t xml:space="preserve">Academic Research Institute  | </w:t>
      </w:r>
      <w:r>
        <w:t xml:space="preserve"> </w:t>
      </w:r>
      <w:r>
        <w:rPr>
          <w:bCs/>
          <w:b/>
        </w:rPr>
        <w:t xml:space="preserve">Date:</w:t>
      </w:r>
      <w:r>
        <w:t xml:space="preserve"> </w:t>
      </w:r>
      <w:r>
        <w:t xml:space="preserve">October 2023</w:t>
      </w:r>
    </w:p>
    <w:bookmarkEnd w:id="20"/>
    <w:bookmarkStart w:id="21" w:name="introduction-and-context"/>
    <w:p>
      <w:pPr>
        <w:pStyle w:val="Heading2"/>
      </w:pPr>
      <w:r>
        <w:t xml:space="preserve">1. Introduction and Context</w:t>
      </w:r>
    </w:p>
    <w:p>
      <w:pPr>
        <w:pStyle w:val="FirstParagraph"/>
      </w:pPr>
      <w:r>
        <w:t xml:space="preserve">Dubai, as the economic hub of the United Arab Emirates (UAE), represents one of the most dynamic financial markets in the Middle East. The role of the</w:t>
      </w:r>
      <w:r>
        <w:t xml:space="preserve"> </w:t>
      </w:r>
      <w:r>
        <w:rPr>
          <w:bCs/>
          <w:b/>
        </w:rPr>
        <w:t xml:space="preserve">Accountant</w:t>
      </w:r>
      <w:r>
        <w:t xml:space="preserve"> </w:t>
      </w:r>
      <w:r>
        <w:t xml:space="preserve">within this jurisdiction has undergone a radical transformation over the last decade. Historically viewed primarily as custodians of financial records, accountants in Dubai are now strategic partners driving business sustainability and regulatory compliance.</w:t>
      </w:r>
    </w:p>
    <w:p>
      <w:pPr>
        <w:pStyle w:val="BodyText"/>
      </w:pPr>
      <w:r>
        <w:t xml:space="preserve">This poster presentation explores the critical shifts influencing accounting practices in</w:t>
      </w:r>
      <w:r>
        <w:t xml:space="preserve"> </w:t>
      </w:r>
      <w:r>
        <w:rPr>
          <w:bCs/>
          <w:b/>
        </w:rPr>
        <w:t xml:space="preserve">United Arab Emirates Dubai</w:t>
      </w:r>
      <w:r>
        <w:t xml:space="preserve">. It analyzes how global standards, local legislative reforms, and technological advancements are redefining professional responsibilities. The study highlights that the modern accountant in Dubai must possess a hybrid skill set combining technical accounting knowledge with strategic business acumen and digital literacy.</w:t>
      </w:r>
    </w:p>
    <w:bookmarkEnd w:id="21"/>
    <w:bookmarkStart w:id="22" w:name="research-objectives"/>
    <w:p>
      <w:pPr>
        <w:pStyle w:val="Heading3"/>
      </w:pPr>
      <w:r>
        <w:t xml:space="preserve">Research Objectives</w:t>
      </w:r>
    </w:p>
    <w:p>
      <w:pPr>
        <w:numPr>
          <w:ilvl w:val="0"/>
          <w:numId w:val="1001"/>
        </w:numPr>
        <w:pStyle w:val="Compact"/>
      </w:pPr>
      <w:r>
        <w:t xml:space="preserve">To evaluate the impact of recent fiscal reforms in the UAE on accounting standards.</w:t>
      </w:r>
    </w:p>
    <w:p>
      <w:pPr>
        <w:numPr>
          <w:ilvl w:val="0"/>
          <w:numId w:val="1001"/>
        </w:numPr>
        <w:pStyle w:val="Compact"/>
      </w:pPr>
      <w:r>
        <w:t xml:space="preserve">To assess the integration of technology (AI and Cloud Computing) among accountants in Dubai.</w:t>
      </w:r>
    </w:p>
    <w:p>
      <w:pPr>
        <w:numPr>
          <w:ilvl w:val="0"/>
          <w:numId w:val="1001"/>
        </w:numPr>
        <w:pStyle w:val="Compact"/>
      </w:pPr>
      <w:r>
        <w:t xml:space="preserve">To identify challenges faced by local professionals in adapting to international reporting frameworks.</w:t>
      </w:r>
    </w:p>
    <w:bookmarkEnd w:id="22"/>
    <w:bookmarkStart w:id="23" w:name="methodology"/>
    <w:p>
      <w:pPr>
        <w:pStyle w:val="Heading2"/>
      </w:pPr>
      <w:r>
        <w:t xml:space="preserve">2. Methodology</w:t>
      </w:r>
    </w:p>
    <w:p>
      <w:pPr>
        <w:pStyle w:val="FirstParagraph"/>
      </w:pPr>
      <w:r>
        <w:t xml:space="preserve">This study employs a mixed-methods approach focusing on the commercial landscape of Dubai. Data was collected through:</w:t>
      </w:r>
    </w:p>
    <w:p>
      <w:pPr>
        <w:numPr>
          <w:ilvl w:val="0"/>
          <w:numId w:val="1002"/>
        </w:numPr>
        <w:pStyle w:val="Compact"/>
      </w:pPr>
      <w:r>
        <w:rPr>
          <w:bCs/>
          <w:b/>
        </w:rPr>
        <w:t xml:space="preserve">Semi-structured Interviews:</w:t>
      </w:r>
      <w:r>
        <w:t xml:space="preserve"> </w:t>
      </w:r>
      <w:r>
        <w:t xml:space="preserve">Conducted with 50 senior accountants and audit partners across major multinational firms operating in the Dubai International Financial Centre (DIFC) and mainland UAE.</w:t>
      </w:r>
    </w:p>
    <w:p>
      <w:pPr>
        <w:numPr>
          <w:ilvl w:val="0"/>
          <w:numId w:val="1002"/>
        </w:numPr>
        <w:pStyle w:val="Compact"/>
      </w:pPr>
      <w:r>
        <w:rPr>
          <w:bCs/>
          <w:b/>
        </w:rPr>
        <w:t xml:space="preserve">Cross-Sectional Survey:</w:t>
      </w:r>
      <w:r>
        <w:t xml:space="preserve"> </w:t>
      </w:r>
      <w:r>
        <w:t xml:space="preserve">Distributed to 200 junior to mid-level accounting professionals in Dubai to gauge digital adoption rates.</w:t>
      </w:r>
    </w:p>
    <w:p>
      <w:pPr>
        <w:numPr>
          <w:ilvl w:val="0"/>
          <w:numId w:val="1002"/>
        </w:numPr>
        <w:pStyle w:val="Compact"/>
      </w:pPr>
      <w:r>
        <w:rPr>
          <w:bCs/>
          <w:b/>
        </w:rPr>
        <w:t xml:space="preserve">Regulatory Analysis:</w:t>
      </w:r>
      <w:r>
        <w:t xml:space="preserve">A comparative analysis of the UAE Commercial Transactions Law updates against International Financial Reporting Standards (IFRS).</w:t>
      </w:r>
    </w:p>
    <w:bookmarkEnd w:id="23"/>
    <w:bookmarkStart w:id="24" w:name="key-findings-the-digital-shift"/>
    <w:p>
      <w:pPr>
        <w:pStyle w:val="Heading3"/>
      </w:pPr>
      <w:r>
        <w:t xml:space="preserve">Key Findings: The Digital Shift</w:t>
      </w:r>
    </w:p>
    <w:p>
      <w:pPr>
        <w:pStyle w:val="FirstParagraph"/>
      </w:pPr>
      <w:r>
        <w:t xml:space="preserve">The data indicates a significant paradigm shift in Dubai. Over 75% of respondents reported that digital tools are now central to their daily workflow. In particular:</w:t>
      </w:r>
    </w:p>
    <w:p>
      <w:pPr>
        <w:pStyle w:val="BodyText"/>
      </w:pPr>
      <w:r>
        <w:rPr>
          <w:bCs/>
          <w:b/>
        </w:rPr>
        <w:t xml:space="preserve">Cloud Adoption:</w:t>
      </w:r>
      <w:r>
        <w:t xml:space="preserve">A majority of firms in Dubai have migrated from legacy systems to cloud-based ERP solutions, enhancing real-time reporting capabilities.</w:t>
      </w:r>
    </w:p>
    <w:p>
      <w:pPr>
        <w:numPr>
          <w:ilvl w:val="0"/>
          <w:numId w:val="1003"/>
        </w:numPr>
        <w:pStyle w:val="Compact"/>
      </w:pPr>
      <w:r>
        <w:rPr>
          <w:bCs/>
          <w:b/>
        </w:rPr>
        <w:t xml:space="preserve">Data Analytics:</w:t>
      </w:r>
      <w:r>
        <w:t xml:space="preserve">Accountants are increasingly tasked with data interpretation rather than just data entry. The ability to visualize financial trends is now a key performance indicator for accountants in the region.</w:t>
      </w:r>
    </w:p>
    <w:bookmarkEnd w:id="24"/>
    <w:bookmarkStart w:id="25" w:name="X9ab37a57972b0a7fee37252b79b18ae98c716aa"/>
    <w:p>
      <w:pPr>
        <w:pStyle w:val="Heading2"/>
      </w:pPr>
      <w:r>
        <w:t xml:space="preserve">3. Regulatory Landscape in United Arab Emirates Dubai</w:t>
      </w:r>
    </w:p>
    <w:p>
      <w:pPr>
        <w:pStyle w:val="FirstParagraph"/>
      </w:pPr>
      <w:r>
        <w:t xml:space="preserve">The fiscal environment in the UAE has tightened significantly. The introduction of Corporate Tax (CT) by the Federal Government, effective for financial years beginning on or after June 1, 2023, marks a historic shift for</w:t>
      </w:r>
      <w:r>
        <w:t xml:space="preserve"> </w:t>
      </w:r>
      <w:r>
        <w:rPr>
          <w:bCs/>
          <w:b/>
        </w:rPr>
        <w:t xml:space="preserve">United Arab Emirates Dubai</w:t>
      </w:r>
      <w:r>
        <w:t xml:space="preserve">.</w:t>
      </w:r>
    </w:p>
    <w:p>
      <w:pPr>
        <w:pStyle w:val="BodyText"/>
      </w:pPr>
      <w:r>
        <w:t xml:space="preserve">This development necessitates a higher level of compliance expertise from the local</w:t>
      </w:r>
      <w:r>
        <w:t xml:space="preserve"> </w:t>
      </w:r>
      <w:r>
        <w:rPr>
          <w:bCs/>
          <w:b/>
        </w:rPr>
        <w:t xml:space="preserve">Accountant</w:t>
      </w:r>
      <w:r>
        <w:t xml:space="preserve">. No longer is tax avoidance a viable strategy; instead, proactive tax planning and rigorous record-keeping are mandatory. The accountant must now act as a guardian of regulatory adherence, ensuring that businesses in free zones and mainland entities comply with both local Decree-Laws and international anti-money laundering (AML) standards.</w:t>
      </w:r>
    </w:p>
    <w:bookmarkEnd w:id="25"/>
    <w:bookmarkStart w:id="26" w:name="the-accountant-as-strategic-partner"/>
    <w:p>
      <w:pPr>
        <w:pStyle w:val="Heading3"/>
      </w:pPr>
      <w:r>
        <w:t xml:space="preserve">The Accountant as Strategic Partner</w:t>
      </w:r>
    </w:p>
    <w:p>
      <w:pPr>
        <w:pStyle w:val="FirstParagraph"/>
      </w:pPr>
      <w:r>
        <w:t xml:space="preserve">The study concludes that the "silent number-cruncher" era is over. In Dubai's competitive market, accountants are expected to:</w:t>
      </w:r>
    </w:p>
    <w:p>
      <w:pPr>
        <w:pStyle w:val="BodyText"/>
      </w:pPr>
      <w:r>
        <w:rPr>
          <w:bCs/>
          <w:b/>
        </w:rPr>
        <w:t xml:space="preserve">Drive Sustainability:</w:t>
      </w:r>
      <w:r>
        <w:t xml:space="preserve">In line with the UAE Net Zero 2050 initiative, accountants are now involved in ESG (Environmental, Social, and Governance) reporting.</w:t>
      </w:r>
    </w:p>
    <w:p>
      <w:pPr>
        <w:pStyle w:val="BodyText"/>
      </w:pPr>
      <w:r>
        <w:rPr>
          <w:bCs/>
          <w:b/>
        </w:rPr>
        <w:t xml:space="preserve">Facilitate Investment:</w:t>
      </w:r>
      <w:r>
        <w:t xml:space="preserve"> </w:t>
      </w:r>
      <w:r>
        <w:t xml:space="preserve">Providing transparent financial narratives to attract foreign direct investment (FDI).</w:t>
      </w:r>
    </w:p>
    <w:p>
      <w:pPr>
        <w:pStyle w:val="BodyText"/>
      </w:pPr>
      <w:r>
        <w:rPr>
          <w:bCs/>
          <w:b/>
        </w:rPr>
        <w:t xml:space="preserve">Navigate Complexity:</w:t>
      </w:r>
      <w:r>
        <w:t xml:space="preserve"> </w:t>
      </w:r>
      <w:r>
        <w:t xml:space="preserve">Managing cross-border transactions typical of Dubai’s import-export and logistics sectors.</w:t>
      </w:r>
    </w:p>
    <w:bookmarkEnd w:id="26"/>
    <w:bookmarkStart w:id="27" w:name="conclusion"/>
    <w:p>
      <w:pPr>
        <w:pStyle w:val="Heading2"/>
      </w:pPr>
      <w:r>
        <w:t xml:space="preserve">4. Conclusion</w:t>
      </w:r>
    </w:p>
    <w:p>
      <w:pPr>
        <w:pStyle w:val="FirstParagraph"/>
      </w:pPr>
      <w:r>
        <w:t xml:space="preserve">The profession of accounting in United Arab Emirates Dubai is at an inflection point. The convergence of rigorous new tax laws, digital transformation, and a strategic economic vision requires a redefinition of the accountant's role.</w:t>
      </w:r>
    </w:p>
    <w:p>
      <w:pPr>
        <w:pStyle w:val="BodyText"/>
      </w:pPr>
      <w:r>
        <w:t xml:space="preserve">This presentation argues that educational institutions and professional bodies in the UAE must adapt their curricula to emphasize technology, ethics, and strategic management. For businesses in Dubai, investing in high-quality accounting talent is no longer just about compliance; it is a competitive advantage that ensures resilience and growth in the global economy.</w:t>
      </w:r>
    </w:p>
    <w:p>
      <w:pPr>
        <w:pStyle w:val="BodyText"/>
      </w:pPr>
      <w:r>
        <w:rPr>
          <w:bCs/>
          <w:b/>
        </w:rPr>
        <w:t xml:space="preserve">Future Research:</w:t>
      </w:r>
      <w:r>
        <w:t xml:space="preserve"> </w:t>
      </w:r>
      <w:r>
        <w:t xml:space="preserve">Further studies should explore the long-term impact of AI on entry-level accounting jobs within the UAE market.</w:t>
      </w:r>
    </w:p>
    <w:bookmarkEnd w:id="27"/>
    <w:p>
      <w:pPr>
        <w:pStyle w:val="BodyText"/>
      </w:pPr>
      <w:r>
        <w:rPr>
          <w:bCs/>
          <w:b/>
        </w:rPr>
        <w:t xml:space="preserve">Contact Information:</w:t>
      </w:r>
      <w:r>
        <w:t xml:space="preserve"> </w:t>
      </w:r>
      <w:r>
        <w:t xml:space="preserve">research.accountant@university.edu.ae |</w:t>
      </w:r>
      <w:r>
        <w:t xml:space="preserve"> </w:t>
      </w:r>
      <w:r>
        <w:rPr>
          <w:bCs/>
          <w:b/>
        </w:rPr>
        <w:t xml:space="preserve">Acknowledgments:</w:t>
      </w:r>
      <w:r>
        <w:t xml:space="preserve"> </w:t>
      </w:r>
      <w:r>
        <w:t xml:space="preserve">Thanks to the Dubai Chamber of Commerce for data support.</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Accountant in United Arab Emirates Dubai</dc:title>
  <dc:creator/>
  <dc:language>en</dc:language>
  <cp:keywords/>
  <dcterms:created xsi:type="dcterms:W3CDTF">2026-07-29T16:22:06Z</dcterms:created>
  <dcterms:modified xsi:type="dcterms:W3CDTF">2026-07-29T16:22:06Z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