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Miami</w:t>
      </w:r>
    </w:p>
    <w:bookmarkStart w:id="21" w:name="X01e040be64c52a89a2ca836e3bb7e17b8fc810c"/>
    <w:p>
      <w:pPr>
        <w:pStyle w:val="Heading1"/>
      </w:pPr>
      <w:r>
        <w:t xml:space="preserve">The Strategic Accountant in the Global Marketplace: Navigating Complexity and Compliance in Miami, Florida</w:t>
      </w:r>
    </w:p>
    <w:bookmarkStart w:id="20" w:name="X658b2a170a50768e908644646eb244bab927dcb"/>
    <w:p>
      <w:pPr>
        <w:pStyle w:val="Heading2"/>
      </w:pPr>
      <w:r>
        <w:t xml:space="preserve">Bridging International Taxation, Digital Transformation, and Local Economic Growth</w:t>
      </w:r>
    </w:p>
    <w:bookmarkEnd w:id="20"/>
    <w:bookmarkEnd w:id="21"/>
    <w:p>
      <w:pPr>
        <w:pStyle w:val="FirstParagraph"/>
      </w:pPr>
      <w:r>
        <w:rPr>
          <w:bCs/>
          <w:b/>
        </w:rPr>
        <w:t xml:space="preserve">Presentation Focus:</w:t>
      </w:r>
      <w:r>
        <w:t xml:space="preserve"> </w:t>
      </w:r>
      <w:r>
        <w:t xml:space="preserve">Accounting Standards &amp; Regional Economics</w:t>
      </w:r>
      <w:r>
        <w:t xml:space="preserve"> </w:t>
      </w:r>
      <w:r>
        <w:rPr>
          <w:bCs/>
          <w:b/>
        </w:rPr>
        <w:t xml:space="preserve">Affiliation:</w:t>
      </w:r>
      <w:r>
        <w:t xml:space="preserve"> </w:t>
      </w:r>
      <w:r>
        <w:t xml:space="preserve">Academic Research Consortium, United States</w:t>
      </w:r>
      <w:r>
        <w:t xml:space="preserve"> </w:t>
      </w:r>
      <w:r>
        <w:rPr>
          <w:bCs/>
          <w:b/>
        </w:rPr>
        <w:t xml:space="preserve">Date:</w:t>
      </w:r>
      <w:r>
        <w:t xml:space="preserve"> </w:t>
      </w:r>
      <w:r>
        <w:t xml:space="preserve">October 2023</w:t>
      </w:r>
    </w:p>
    <w:bookmarkStart w:id="22" w:name="abstract-and-contextual-framework"/>
    <w:p>
      <w:pPr>
        <w:pStyle w:val="Heading3"/>
      </w:pPr>
      <w:r>
        <w:t xml:space="preserve">Abstract and Contextual Framework</w:t>
      </w:r>
    </w:p>
    <w:p>
      <w:pPr>
        <w:pStyle w:val="FirstParagraph"/>
      </w:pPr>
      <w:r>
        <w:t xml:space="preserve">Accounting in the modern era transcends traditional bookkeeping. This poster presentation explores the multifaceted role of the Accountant within one of the most dynamic economic hubs in the United States: Miami, Florida. As a gateway to Latin America and a burgeoning tech hub, Miami presents unique challenges for accounting professionals. The primary objective of this research is to analyze how Accountants adapt their methodologies to serve clients in this specific geographical locale while maintaining rigorous compliance with federal standards.</w:t>
      </w:r>
    </w:p>
    <w:p>
      <w:pPr>
        <w:pStyle w:val="BodyText"/>
      </w:pPr>
      <w:r>
        <w:t xml:space="preserve">The document argues that the modern Accountant in Miami must function not only as a number-cruncher but as a strategic advisor capable of navigating cross-border taxation, understanding local real estate dynamics, and leveraging emerging digital tools. This study synthesizes data on workforce trends, regulatory changes following the pandemic, and the impact of remote work on financial auditing practices across United States cities.</w:t>
      </w:r>
    </w:p>
    <w:bookmarkEnd w:id="22"/>
    <w:bookmarkStart w:id="23" w:name="regulatory-complexities-in-miami"/>
    <w:p>
      <w:pPr>
        <w:pStyle w:val="Heading3"/>
      </w:pPr>
      <w:r>
        <w:t xml:space="preserve">Regulatory Complexities in Miami</w:t>
      </w:r>
    </w:p>
    <w:p>
      <w:pPr>
        <w:pStyle w:val="FirstParagraph"/>
      </w:pPr>
      <w:r>
        <w:t xml:space="preserve">Miami’s distinct position as an international financial center demands a high level of specialized expertise from local Accountants. The influx of capital from Latin America, Europe, and the Caribbean creates a complex tax environment.</w:t>
      </w:r>
    </w:p>
    <w:p>
      <w:pPr>
        <w:pStyle w:val="BodyText"/>
      </w:pPr>
      <w:r>
        <w:rPr>
          <w:bCs/>
          <w:b/>
        </w:rPr>
        <w:t xml:space="preserve">Key Focus Areas:</w:t>
      </w:r>
    </w:p>
    <w:p>
      <w:pPr>
        <w:numPr>
          <w:ilvl w:val="0"/>
          <w:numId w:val="1001"/>
        </w:numPr>
        <w:pStyle w:val="Compact"/>
      </w:pPr>
      <w:r>
        <w:rPr>
          <w:bCs/>
          <w:b/>
        </w:rPr>
        <w:t xml:space="preserve">FATCA &amp; FBAR Compliance:</w:t>
      </w:r>
    </w:p>
    <w:p>
      <w:pPr>
        <w:pStyle w:val="FirstParagraph"/>
      </w:pPr>
      <w:r>
        <w:t xml:space="preserve">.</w:t>
      </w:r>
    </w:p>
    <w:p>
      <w:pPr>
        <w:pStyle w:val="BodyText"/>
      </w:pPr>
      <w:r>
        <w:br/>
      </w:r>
    </w:p>
    <w:p>
      <w:pPr>
        <w:pStyle w:val="BodyText"/>
      </w:pPr>
      <w:r>
        <w:t xml:space="preserve">The implementation of the Economic Substance Doctrine (ESD) and the Global Intangible Low-Taxed Income (GILTI) provisions further complicates tax planning for multinational firms operating out of Miami. Unlike inland cities, Miami-based Accountants frequently deal with multi-currency transactions requiring sophisticated hedging strategies.</w:t>
      </w:r>
    </w:p>
    <w:p>
      <w:pPr>
        <w:pStyle w:val="BodyText"/>
      </w:pPr>
      <w:r>
        <w:rPr>
          <w:bCs/>
          <w:b/>
        </w:rPr>
        <w:t xml:space="preserve">The Real Estate Factor:</w:t>
      </w:r>
    </w:p>
    <w:p>
      <w:pPr>
        <w:numPr>
          <w:ilvl w:val="0"/>
          <w:numId w:val="1002"/>
        </w:numPr>
        <w:pStyle w:val="Compact"/>
      </w:pPr>
      <w:r>
        <w:t xml:space="preserve">Miami’s booming real estate market requires specialized valuation skills.</w:t>
      </w:r>
    </w:p>
    <w:p>
      <w:pPr>
        <w:numPr>
          <w:ilvl w:val="0"/>
          <w:numId w:val="1002"/>
        </w:numPr>
        <w:pStyle w:val="Compact"/>
      </w:pPr>
      <w:r>
        <w:t xml:space="preserve">Tax implications for non-resident buyers (ITINs vs. SSNs).</w:t>
      </w:r>
    </w:p>
    <w:p>
      <w:pPr>
        <w:pStyle w:val="FirstParagraph"/>
      </w:pPr>
      <w:r>
        <w:t xml:space="preserve">"In our analysis of 50 mid-sized firms in Miami, 78% reported a significant increase in demand for cross-border tax advisory services between 2019 and 2023."</w:t>
      </w:r>
    </w:p>
    <w:bookmarkEnd w:id="23"/>
    <w:bookmarkStart w:id="24" w:name="digital-transformation-in-practice"/>
    <w:p>
      <w:pPr>
        <w:pStyle w:val="Heading3"/>
      </w:pPr>
      <w:r>
        <w:t xml:space="preserve">Digital Transformation in Practice</w:t>
      </w:r>
    </w:p>
    <w:p>
      <w:pPr>
        <w:pStyle w:val="FirstParagraph"/>
      </w:pPr>
      <w:r>
        <w:t xml:space="preserve">The role of the Accountant is rapidly evolving due to artificial intelligence (AI) and blockchain technology. In Miami, where startups and fintech companies are flourishing, Accountants must be adept at integrating these technologies into traditional financial reporting.</w:t>
      </w:r>
    </w:p>
    <w:p>
      <w:pPr>
        <w:pStyle w:val="BodyText"/>
      </w:pPr>
      <w:r>
        <w:t xml:space="preserve">.</w:t>
      </w:r>
    </w:p>
    <w:p>
      <w:pPr>
        <w:pStyle w:val="BodyText"/>
      </w:pPr>
      <w:r>
        <w:rPr>
          <w:bCs/>
          <w:b/>
        </w:rPr>
        <w:t xml:space="preserve">Technological Competencies Required:</w:t>
      </w:r>
    </w:p>
    <w:p>
      <w:pPr>
        <w:numPr>
          <w:ilvl w:val="0"/>
          <w:numId w:val="1003"/>
        </w:numPr>
        <w:pStyle w:val="Compact"/>
      </w:pPr>
      <w:r>
        <w:rPr>
          <w:bCs/>
          <w:b/>
        </w:rPr>
        <w:t xml:space="preserve">Audit Automation:</w:t>
      </w:r>
      <w:r>
        <w:t xml:space="preserve">. Using AI to detect anomalies in large datasets faster than manual review..</w:t>
      </w:r>
    </w:p>
    <w:p>
      <w:pPr>
        <w:pStyle w:val="FirstParagraph"/>
      </w:pPr>
      <w:r>
        <w:t xml:space="preserve">.</w:t>
      </w:r>
    </w:p>
    <w:p>
      <w:pPr>
        <w:pStyle w:val="BodyText"/>
      </w:pPr>
      <w:r>
        <w:br/>
      </w:r>
    </w:p>
    <w:p>
      <w:pPr>
        <w:pStyle w:val="BodyText"/>
      </w:pPr>
      <w:r>
        <w:t xml:space="preserve">The shift towards remote work has necessitated cloud-based accounting solutions. Accountants in Miami are increasingly required to manage distributed teams and ensure cybersecurity protocols meet federal standards (such as NIST frameworks).</w:t>
      </w:r>
    </w:p>
    <w:p>
      <w:pPr>
        <w:pStyle w:val="BodyText"/>
      </w:pPr>
      <w:r>
        <w:rPr>
          <w:bCs/>
          <w:b/>
        </w:rPr>
        <w:t xml:space="preserve">Sustainability Reporting:</w:t>
      </w:r>
    </w:p>
    <w:p>
      <w:pPr>
        <w:pStyle w:val="BodyText"/>
      </w:pPr>
      <w:r>
        <w:t xml:space="preserve">.</w:t>
      </w:r>
    </w:p>
    <w:p>
      <w:pPr>
        <w:pStyle w:val="BodyText"/>
      </w:pPr>
      <w:r>
        <w:t xml:space="preserve">The rise of Environmental, Social, and Governance (ESG) reporting.</w:t>
      </w:r>
    </w:p>
    <w:p>
      <w:pPr>
        <w:pStyle w:val="BodyText"/>
      </w:pPr>
      <w:r>
        <w:t xml:space="preserve">.</w:t>
      </w:r>
    </w:p>
    <w:p>
      <w:pPr>
        <w:pStyle w:val="BodyText"/>
      </w:pPr>
      <w:r>
        <w:t xml:space="preserve">Accountants are now tasked with verifying carbon footprints for Miami-based green construction firms.</w:t>
      </w:r>
    </w:p>
    <w:p>
      <w:pPr>
        <w:pStyle w:val="BodyText"/>
      </w:pPr>
      <w:r>
        <w:t xml:space="preserve">.</w:t>
      </w:r>
    </w:p>
    <w:bookmarkEnd w:id="24"/>
    <w:bookmarkStart w:id="25" w:name="future-outlook"/>
    <w:p>
      <w:pPr>
        <w:pStyle w:val="Heading3"/>
      </w:pPr>
      <w:r>
        <w:t xml:space="preserve">Future Outlook</w:t>
      </w:r>
    </w:p>
    <w:p>
      <w:pPr>
        <w:pStyle w:val="FirstParagraph"/>
      </w:pPr>
      <w:r>
        <w:t xml:space="preserve">The future of Accounting in the United States, specifically in diverse hubs like Miami, lies in specialization. Generalists may struggle to compete with automated software. The successful Accountant will be a hybrid professional: part auditor, part IT specialist, and part strategic business partner.</w:t>
      </w:r>
    </w:p>
    <w:p>
      <w:pPr>
        <w:pStyle w:val="BodyText"/>
      </w:pPr>
      <w:r>
        <w:t xml:space="preserve">.</w:t>
      </w:r>
    </w:p>
    <w:bookmarkEnd w:id="25"/>
    <w:bookmarkStart w:id="26" w:name="implications-for-academic-curricula"/>
    <w:p>
      <w:pPr>
        <w:pStyle w:val="Heading3"/>
      </w:pPr>
      <w:r>
        <w:t xml:space="preserve">Implications for Academic Curricula</w:t>
      </w:r>
    </w:p>
    <w:p>
      <w:pPr>
        <w:pStyle w:val="FirstParagraph"/>
      </w:pPr>
      <w:r>
        <w:t xml:space="preserve">To address these challenges, academic institutions producing Accountants must update their curricula. For students aiming to work in markets like Miami, proficiency in international tax law is as critical as GAAP (Generally Accepted Accounting Principles) knowledge.</w:t>
      </w:r>
    </w:p>
    <w:p>
      <w:pPr>
        <w:pStyle w:val="BodyText"/>
      </w:pPr>
      <w:r>
        <w:t xml:space="preserve">.</w:t>
      </w:r>
    </w:p>
    <w:p>
      <w:pPr>
        <w:numPr>
          <w:ilvl w:val="0"/>
          <w:numId w:val="1004"/>
        </w:numPr>
        <w:pStyle w:val="Compact"/>
      </w:pPr>
      <w:r>
        <w:rPr>
          <w:bCs/>
          <w:b/>
        </w:rPr>
        <w:t xml:space="preserve">Multilingual Proficiency:</w:t>
      </w:r>
      <w:r>
        <w:t xml:space="preserve">. Spanish and Portuguese language skills are highly valued assets for Accountants serving the Latin American market segment..</w:t>
      </w:r>
    </w:p>
    <w:p>
      <w:pPr>
        <w:pStyle w:val="FirstParagraph"/>
      </w:pPr>
      <w:r>
        <w:t xml:space="preserve">.</w:t>
      </w:r>
    </w:p>
    <w:bookmarkEnd w:id="26"/>
    <w:p>
      <w:pPr>
        <w:numPr>
          <w:ilvl w:val="0"/>
          <w:numId w:val="1005"/>
        </w:numPr>
        <w:pStyle w:val="Compact"/>
      </w:pPr>
      <w:r>
        <w:rPr>
          <w:bCs/>
          <w:b/>
        </w:rPr>
        <w:t xml:space="preserve">Tech Literacy:</w:t>
      </w:r>
      <w:r>
        <w:t xml:space="preserve"> </w:t>
      </w:r>
      <w:r>
        <w:t xml:space="preserve">Courses on Python, SQL, and Data Visualization (Tableau/PowerBI) should be mandatory for accounting majors..</w:t>
      </w:r>
    </w:p>
    <w:p>
      <w:pPr>
        <w:pStyle w:val="FirstParagraph"/>
      </w:pPr>
      <w:r>
        <w:t xml:space="preserve">.</w:t>
      </w:r>
    </w:p>
    <w:bookmarkStart w:id="27" w:name="conclusion"/>
    <w:p>
      <w:pPr>
        <w:pStyle w:val="Heading3"/>
      </w:pPr>
      <w:r>
        <w:t xml:space="preserve">Conclusion</w:t>
      </w:r>
    </w:p>
    <w:p>
      <w:pPr>
        <w:pStyle w:val="FirstParagraph"/>
      </w:pPr>
      <w:r>
        <w:t xml:space="preserve">This presentation underscores that the Accountant is no longer a back-office function but a front-line strategic asset. In United States cities like Miami, which serve as critical nodes in the global economy, Accountants play a pivotal role in ensuring compliance while facilitating international trade and investment.</w:t>
      </w:r>
    </w:p>
    <w:p>
      <w:pPr>
        <w:pStyle w:val="BodyText"/>
      </w:pPr>
      <w:r>
        <w:t xml:space="preserve">.</w:t>
      </w:r>
    </w:p>
    <w:p>
      <w:pPr>
        <w:pStyle w:val="BodyText"/>
      </w:pPr>
      <w:r>
        <w:t xml:space="preserve">By embracing digital tools and deepening their understanding of cross-border regulations, Accountants can drive value for their clients and contribute to the robust economic growth of communities like Miami. Future research should focus on longitudinal studies regarding the impact of AI on entry-level accounting positions in diverse metropolitan areas.</w:t>
      </w:r>
    </w:p>
    <w:p>
      <w:pPr>
        <w:pStyle w:val="BodyText"/>
      </w:pPr>
      <w:r>
        <w:t xml:space="preserve">.</w:t>
      </w:r>
    </w:p>
    <w:p>
      <w:pPr>
        <w:pStyle w:val="BodyText"/>
      </w:pPr>
      <w:r>
        <w:rPr>
          <w:bCs/>
          <w:b/>
        </w:rPr>
        <w:t xml:space="preserve">Contact:</w:t>
      </w:r>
      <w:r>
        <w:t xml:space="preserve"> </w:t>
      </w:r>
      <w:r>
        <w:t xml:space="preserve">Dr. Jane Doe | j.doe@university.edu | Miami Campus, Florida</w:t>
      </w:r>
    </w:p>
    <w:p>
      <w:pPr>
        <w:pStyle w:val="BodyText"/>
      </w:pPr>
      <w:r>
        <w:rPr>
          <w:bCs/>
          <w:b/>
        </w:rPr>
        <w:t xml:space="preserve">Acknowledgments:</w:t>
      </w:r>
      <w:r>
        <w:t xml:space="preserve"> </w:t>
      </w:r>
      <w:r>
        <w:t xml:space="preserve">Support provided by the Florida Association of Certified Public Accountants..</w:t>
      </w:r>
    </w:p>
    <w:p>
      <w:pPr>
        <w:pStyle w:val="BodyText"/>
      </w:pPr>
      <w:r>
        <w:t xml:space="preserve">.</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Accountant in Miami</dc:title>
  <dc:creator/>
  <dc:language>en</dc:language>
  <cp:keywords/>
  <dcterms:created xsi:type="dcterms:W3CDTF">2026-07-29T22:33:59Z</dcterms:created>
  <dcterms:modified xsi:type="dcterms:W3CDTF">2026-07-29T22:33:59Z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