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The</w:t>
      </w:r>
      <w:r>
        <w:t xml:space="preserve"> </w:t>
      </w:r>
      <w:r>
        <w:t xml:space="preserve">Strategic</w:t>
      </w:r>
      <w:r>
        <w:t xml:space="preserve"> </w:t>
      </w:r>
      <w:r>
        <w:t xml:space="preserve">Actor</w:t>
      </w:r>
      <w:r>
        <w:t xml:space="preserve"> </w:t>
      </w:r>
      <w:r>
        <w:t xml:space="preserve">in</w:t>
      </w:r>
      <w:r>
        <w:t xml:space="preserve"> </w:t>
      </w:r>
      <w:r>
        <w:t xml:space="preserve">the</w:t>
      </w:r>
      <w:r>
        <w:t xml:space="preserve"> </w:t>
      </w:r>
      <w:r>
        <w:t xml:space="preserve">Singapore</w:t>
      </w:r>
      <w:r>
        <w:t xml:space="preserve"> </w:t>
      </w:r>
      <w:r>
        <w:t xml:space="preserve">Context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Strategic Actor in the Singapore Context</dc:title>
  <dc:creator/>
  <dc:language>en</dc:language>
  <cp:keywords/>
  <dcterms:created xsi:type="dcterms:W3CDTF">2026-09-27T05:09:26Z</dcterms:created>
  <dcterms:modified xsi:type="dcterms:W3CDTF">2026-09-27T05:09:26Z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