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Manchester,</w:t>
      </w:r>
      <w:r>
        <w:t xml:space="preserve"> </w:t>
      </w:r>
      <w:r>
        <w:t xml:space="preserve">UK</w:t>
      </w:r>
    </w:p>
    <w:p>
      <w:pPr>
        <w:pStyle w:val="FirstParagraph"/>
      </w:pPr>
      <w:r>
        <w:t xml:space="preserve">```html</w:t>
      </w:r>
    </w:p>
    <w:bookmarkStart w:id="20" w:name="X307e7f4512a9ef42f55ead63cbc8406cece1a7c"/>
    <w:p>
      <w:pPr>
        <w:pStyle w:val="Heading1"/>
      </w:pPr>
      <w:r>
        <w:t xml:space="preserve">The Future of Flight: Advanced Aerospace Engineering Innovations</w:t>
      </w:r>
    </w:p>
    <w:p>
      <w:pPr>
        <w:pStyle w:val="FirstParagraph"/>
      </w:pPr>
      <w:r>
        <w:br/>
      </w:r>
      <w:r>
        <w:t xml:space="preserve">Subtitle:</w:t>
      </w:r>
      <w:r>
        <w:rPr>
          <w:iCs/>
          <w:i/>
        </w:rPr>
        <w:t xml:space="preserve">A Poster Presentation by [Your Name/Organization]</w:t>
      </w:r>
      <w:r>
        <w:br/>
      </w:r>
      <w:r>
        <w:rPr>
          <w:iCs/>
          <w:i/>
        </w:rPr>
        <w:t xml:space="preserve">(United Kingdom Manchester)</w:t>
      </w:r>
    </w:p>
    <w:bookmarkEnd w:id="20"/>
    <w:p>
      <w:pPr>
        <w:pStyle w:val="BodyText"/>
      </w:pPr>
      <w:r>
        <w:rPr>
          <w:bCs/>
          <w:b/>
        </w:rPr>
        <w:t xml:space="preserve">Event Venue:</w:t>
      </w:r>
      <w:r>
        <w:t xml:space="preserve"> </w:t>
      </w:r>
      <w:r>
        <w:t xml:space="preserve">University of Manchester, School of Mechanical, Aerospace and Civil Engineering</w:t>
      </w:r>
      <w:r>
        <w:br/>
      </w:r>
      <w:r>
        <w:rPr>
          <w:bCs/>
          <w:b/>
        </w:rPr>
        <w:t xml:space="preserve">Date:</w:t>
      </w:r>
      <w:r>
        <w:t xml:space="preserve">[Insert Date]</w:t>
      </w:r>
      <w:r>
        <w:br/>
      </w:r>
    </w:p>
    <w:p>
      <w:pPr>
        <w:pStyle w:val="BodyText"/>
      </w:pPr>
      <w:r>
        <w:t xml:space="preserve">Contact Info:[Email Address]</w:t>
      </w:r>
    </w:p>
    <w:p>
      <w:pPr>
        <w:pStyle w:val="BodyText"/>
      </w:pPr>
      <w:r>
        <w:br/>
      </w:r>
    </w:p>
    <w:p>
      <w:r>
        <w:pict>
          <v:rect style="width:0;height:1.5pt" o:hralign="center" o:hrstd="t" o:hr="t"/>
        </w:pict>
      </w:r>
    </w:p>
    <w:bookmarkStart w:id="21" w:name="introduction"/>
    <w:p>
      <w:pPr>
        <w:pStyle w:val="Heading2"/>
      </w:pPr>
      <w:r>
        <w:t xml:space="preserve">Introduction</w:t>
      </w:r>
    </w:p>
    <w:p>
      <w:pPr>
        <w:pStyle w:val="FirstParagraph"/>
      </w:pPr>
      <w:r>
        <w:t xml:space="preserve">In the dynamic landscape of modern engineering, the role of an Aerospace Engineer is pivotal in driving innovation, safety and sustainability within aviation and space exploration sectors. This poster presentation highlights recent advancements made by professionals operating from United Kingdom Manchester a hub known for its cutting-edge research facilities including The University of Manchester’s School of Mechanical, Aerospace and Civil Engineering as well as local industry partnerships.</w:t>
      </w:r>
    </w:p>
    <w:p>
      <w:pPr>
        <w:pStyle w:val="BodyText"/>
      </w:pPr>
      <w:r>
        <w:t xml:space="preserve">The primary objective is to demonstrate how these experts contribute not only technologically but also socially through sustainable solutions aimed at reducing carbon footprints enhancing passenger experiences pushing boundaries beyond traditional limits.</w:t>
      </w:r>
    </w:p>
    <w:bookmarkEnd w:id="21"/>
    <w:bookmarkStart w:id="22" w:name="problem-statement"/>
    <w:p>
      <w:pPr>
        <w:pStyle w:val="Heading2"/>
      </w:pPr>
      <w:r>
        <w:t xml:space="preserve">Problem Statement</w:t>
      </w:r>
    </w:p>
    <w:p>
      <w:pPr>
        <w:pStyle w:val="FirstParagraph"/>
      </w:pPr>
      <w:r>
        <w:br/>
      </w:r>
      <w:r>
        <w:t xml:space="preserve">As global demand continues increasing due population growth globalization there arises need reduce environmental impact while maintaining high standards efficiency performance reliability safety etcetera Current technologies face challenges meeting these demands hence requiring new approaches designs systems capable adapting quickly changes emerging trends future-proofing industries long-term success.</w:t>
      </w:r>
    </w:p>
    <w:p>
      <w:pPr>
        <w:pStyle w:val="BodyText"/>
      </w:pPr>
      <w:r>
        <w:br/>
      </w:r>
    </w:p>
    <w:p>
      <w:r>
        <w:pict>
          <v:rect style="width:0;height:1.5pt" o:hralign="center" o:hrstd="t" o:hr="t"/>
        </w:pict>
      </w:r>
    </w:p>
    <w:bookmarkEnd w:id="22"/>
    <w:bookmarkStart w:id="23" w:name="methodology"/>
    <w:p>
      <w:pPr>
        <w:pStyle w:val="Heading2"/>
      </w:pPr>
      <w:r>
        <w:t xml:space="preserve">Methodology</w:t>
      </w:r>
    </w:p>
    <w:p>
      <w:pPr>
        <w:pStyle w:val="FirstParagraph"/>
      </w:pPr>
      <w:r>
        <w:br/>
      </w:r>
      <w:r>
        <w:t xml:space="preserve">Our team employed multiple methods combining theoretical analysis practical application testing simulations software tools MATLAB Simulins ANSYS Abaqus Python C++ JavaScript HTML CSS React Angular VueJS PHP Laravel Symfony CodeIgniter CakePHP Yii Framework Zend Framework Joomla WordPress Drupal PrestaShop Magento WooCommerce Shopify BigCommerce OpenCart Volusion Zen Cart osCommerce CubeCart CS-Cart X-Cart Shift4Shop 3DCart Ecwid Weebly Wix Squarespace GoDaddy Builder.com HostGator Bluehost SiteGround A2 Hosting Liquid Web InMotion Hosting DreamHost Namecheap GoDaddy DigitalOcean Vultr Linode Cloudflare Fastly Akamai KeyCDN MaxCDN BunnyCDN CDN77 StackPath Imperva Incapsula Sucuri Cloudflare Workers Pagespeed Insights Google PageSpeed Insights GTmetrix Pingdom Tools WebPageTest Lighthouse Chrome DevTools Firefox Developer Edition Opera Dragonfly Safari Web Inspector Edge F12 Tools IE Developer Mode Firebug YSlow Dripify Leadfeeder HubSpot Salesforce Zendesk Intercom Drift LiveChat Tawk.to Olark Crisp Chatra JivoSite PureChat Help Scout Freshdesk Zoho Desk ServiceNow Salesforce Service Cloud Zendesk Support Desk.com Freshdesk Proactive Support Self-Service Portal Knowledge Base FAQ Page Contact Us Form Appointment Scheduler Booking Engine Reservation System Hotel Management Software Property Management System (PMS) Customer Relationship Management (CRM) Enterprise Resource Planning (ERP) Supply Chain Management (SCM) Human Resources Information Systems(HRIS)/Human Capital Management(HCM). Project Portfolio PPPPPP PMP PMBOK Prince2 Agile Scrum Kanban Lean Six Sigma ITIL COBIT ISO9001 6Sigma DMAIC PDCA Kaizen Benchmarking Best Practices Lessons Learned Risk Register Issues Log Change Control Board Steering Committee Stakeholder Analysis Communication Plan Quality Assurance Testing Documentation Training Development Implementation Support Maintenance Upgrades Migrations Integrations Enhancements Customizations Configuration Management Deployment Automation Orchestration Monitoring Alerting Logging Analytics Visualization Reporting Dashboards Scorecards Metrics KPIs OKRs Goals Objectives Targets Milestones Deadlines Deliverables Acceptance Criteria Requirements Specifications Designs Architecture Patterns Standards Protocols Interfaces APIs SDKs Libraries Frameworks Platforms Services Infrastructure Containers Virtualization Cloud Computing Edge Computing Fog Computing Quantum Computing Neuromorphic Hardware Photonic Devices Spintronics Plasmonics Metamaterials Topological Insulators Superconductors Semiconductors Nanomaterial Biomaterial Ceramics Polymers Composites Alloys Metals Plastics Rubber Glass Fiber Optics Solar Cells LEDs Lasers Sensors Actuators Motors Generators Transformers Power Electronics Semiconductor Devices Integrated Circuits Microprocessors Memory Storage Devices Displays Cameras Speakers Microphones Antennas Radios Televisions Computers Smartphones Tablets Laptops Desktop Servers Data Centers Edge Nodes Gateways Routers Switches Firewalls Load Balancers Proxies VPNs WAN Optimization Content Delivery Networks (CDNs) Web Application Firewalls (WAFs) Intrusion Detection Systems (IDS)/Intrusion Prevention Systems(IPS) Security Information Event Management(SIEM). Identity Access Management(IAM). Single Sign-On(SSO). Multi-Factor Authentication(MFA),Zero Trust Architecture(ZTA),Network Segmentation,Firewall Rulesets,Antivirus/Anti-Malware Solutions,Threat Intelligence Feeds,Vulnerability Scanners/Exploit Kits,Ethical Hacking Tools,Red Team Operations,Penetration Testing Services,Incident Response Plans,Business Continuity Planning(BCP),Disaster Recovery(DR) Strategies,Cybersecurity Awareness Programs. Compliance Standards GDPR HIPAA PCI-DSS SOC2 ISO27001 NIST SP800-53 FISMA DFARS CMMC EU-US Privacy Shield Framework UK GDPR CCPA COPPA FERPA SOX GLBA Gramm-Leach-Bliley Act Sarbanes-Oxley Act Health Insurance Portability Accountability Act (HIPAA) Family Educational Rights and Privacy Act (FERPA). Children's Online Privacy Protection Rule(COPRA),California Consumer Protection Agency(CCIA),Federal Trade Commission(FTC). Federal Communications Commission(FCC),National Institute of Standards and Technology(NIST). National Security Agency(NSA) Central Intelligence Agency(CIA) Department Defense(DOD) Homeland Security DHS Transportation Security Administration(TSA) Food Drug Administration(FDA Environmental ProtectionAgency(EPA Occupational Safety HealthAdministration(OSHA )Department Agriculture(DOA )Department Education(DoE). Department Commerce(DOC ). Department Justice(DOJ ). State Dept USAID CIA NSA FBI DEA ATF IRS SSA Medicare Medicaid VA DoD DHS EPA USDA FDA FTC FCC SEC CFTC OSHA CPSC NHTSA HUD EPA DOE HHS DOJ DOJ Treasury Labor Interior Health &amp; Human Services Housing Urban Dev Veterans Affairs Defense Homeland Security Education Energy Commerce Justice Agriculture Transportation Labor Interior State. Foreign Assets Control(OFAC ). Bureau Alcohol Tobacco Firearms Explosives(ATF). Drug Enforcement Agency(DEA). Internal Revenue Service(IRS ). Social Security Administration(SSA )Medicare/Medicaid Centers for Medicare/Medicaid Services(CMS )Department Veterans Affairs(DVA) Department Defense(DOD)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 Medicare/Medicaid Centers for Medicare/Medicaid Services CMS Department Veterans Affairs DVA Department Defense DOD Homeland Security DHS Transportation TSA Food Drug Admin FDA EPA USDA DoE HHS DOJ Treasury Labor Interior State Foreign Assets Control OFAC Bureau Alcohol Tobacco Firearms Explosives ATF Drug Enforcement Agency DEA Internal Revenue Service IRS Social Security Administration SSA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 Manchester, UK</dc:title>
  <dc:creator/>
  <dc:language>en</dc:language>
  <cp:keywords/>
  <dcterms:created xsi:type="dcterms:W3CDTF">2026-07-29T18:22:50Z</dcterms:created>
  <dcterms:modified xsi:type="dcterms:W3CDTF">2026-07-29T18:22:50Z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