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Tashkent</w:t>
      </w:r>
    </w:p>
    <w:bookmarkStart w:id="21" w:name="the-future-of-aviation-in-central-asia"/>
    <w:p>
      <w:pPr>
        <w:pStyle w:val="Heading1"/>
      </w:pPr>
      <w:r>
        <w:t xml:space="preserve">The Future of Aviation in Central Asia</w:t>
      </w:r>
    </w:p>
    <w:bookmarkStart w:id="20" w:name="X63aa7c77c03b11fff327a3eb1f8b797520b99f0"/>
    <w:p>
      <w:pPr>
        <w:pStyle w:val="Heading2"/>
      </w:pPr>
      <w:r>
        <w:t xml:space="preserve">Strategic Development of Aerospace Engineering Capabilities in Uzbekistan Tashkent</w:t>
      </w:r>
    </w:p>
    <w:bookmarkEnd w:id="20"/>
    <w:bookmarkEnd w:id="21"/>
    <w:p>
      <w:pPr>
        <w:pStyle w:val="FirstParagraph"/>
      </w:pPr>
      <w:r>
        <w:rPr>
          <w:bCs/>
          <w:b/>
        </w:rPr>
        <w:t xml:space="preserve">Presentation Theme:</w:t>
      </w:r>
      <w:r>
        <w:t xml:space="preserve"> </w:t>
      </w:r>
      <w:r>
        <w:t xml:space="preserve">Aerospace Engineer Academic Contributions to Regional Aviation Safety and Innovation</w:t>
      </w:r>
      <w:r>
        <w:br/>
      </w:r>
      <w:r>
        <w:rPr>
          <w:bCs/>
          <w:b/>
        </w:rPr>
        <w:t xml:space="preserve">Institutional Focus:</w:t>
      </w:r>
      <w:r>
        <w:t xml:space="preserve">Tashkent State Technical University &amp; Central Asian Aviation Consortium</w:t>
      </w:r>
      <w:r>
        <w:br/>
      </w:r>
      <w:r>
        <w:rPr>
          <w:bCs/>
          <w:b/>
        </w:rPr>
        <w:t xml:space="preserve">Location:</w:t>
      </w:r>
      <w:r>
        <w:t xml:space="preserve"> </w:t>
      </w:r>
      <w:r>
        <w:t xml:space="preserve">UZBEKISTAN TASHKENT</w:t>
      </w:r>
    </w:p>
    <w:bookmarkStart w:id="22" w:name="i.-introduction-context"/>
    <w:p>
      <w:pPr>
        <w:pStyle w:val="Heading3"/>
      </w:pPr>
      <w:r>
        <w:t xml:space="preserve">I. Introduction &amp; Context</w:t>
      </w:r>
    </w:p>
    <w:p>
      <w:pPr>
        <w:pStyle w:val="FirstParagraph"/>
      </w:pPr>
      <w:r>
        <w:t xml:space="preserve">The modern aerospace industry demands rigorous engineering principles, innovative design methodologies, and strict adherence to global safety standards. As a pivotal hub connecting Europe and Asia,</w:t>
      </w:r>
      <w:r>
        <w:rPr>
          <w:bCs/>
          <w:b/>
        </w:rPr>
        <w:t xml:space="preserve">Uzbekistan Tashkent</w:t>
      </w:r>
      <w:r>
        <w:t xml:space="preserve">has emerged as a critical node in the regional aviation network. This</w:t>
      </w:r>
      <w:r>
        <w:t xml:space="preserve"> </w:t>
      </w:r>
      <w:r>
        <w:rPr>
          <w:bCs/>
          <w:b/>
        </w:rPr>
        <w:t xml:space="preserve">Aerospace Engineer</w:t>
      </w:r>
      <w:r>
        <w:t xml:space="preserve"> </w:t>
      </w:r>
      <w:r>
        <w:t xml:space="preserve">presentation explores how localized academic rigor can drive international competitiveness.</w:t>
      </w:r>
    </w:p>
    <w:p>
      <w:pPr>
        <w:pStyle w:val="BodyText"/>
      </w:pPr>
      <w:r>
        <w:t xml:space="preserve">The primary objective of this study is to analyze the current infrastructure gaps in Central Asian air traffic management and propose engineering solutions that enhance operational efficiency, sustainability, and safety protocols specific to the unique geographical challenges of</w:t>
      </w:r>
      <w:r>
        <w:rPr>
          <w:bCs/>
          <w:b/>
        </w:rPr>
        <w:t xml:space="preserve">Uzbekistan Tashkent</w:t>
      </w:r>
      <w:r>
        <w:t xml:space="preserve">.</w:t>
      </w:r>
    </w:p>
    <w:bookmarkEnd w:id="22"/>
    <w:bookmarkStart w:id="23" w:name="ii.-problem-statement-challenges"/>
    <w:p>
      <w:pPr>
        <w:pStyle w:val="Heading3"/>
      </w:pPr>
      <w:r>
        <w:t xml:space="preserve">II. Problem Statement &amp; Challenges</w:t>
      </w:r>
    </w:p>
    <w:p>
      <w:pPr>
        <w:pStyle w:val="FirstParagraph"/>
      </w:pPr>
      <w:r>
        <w:t xml:space="preserve">The aviation sector in Central Asia faces several technical hurdles:</w:t>
      </w:r>
    </w:p>
    <w:p>
      <w:pPr>
        <w:numPr>
          <w:ilvl w:val="0"/>
          <w:numId w:val="1001"/>
        </w:numPr>
        <w:pStyle w:val="Compact"/>
      </w:pPr>
      <w:r>
        <w:t xml:space="preserve">Aging fleet infrastructure requiring retrofitting and modernization.</w:t>
      </w:r>
    </w:p>
    <w:p>
      <w:pPr>
        <w:numPr>
          <w:ilvl w:val="0"/>
          <w:numId w:val="1001"/>
        </w:numPr>
        <w:pStyle w:val="Compact"/>
      </w:pPr>
      <w:r>
        <w:t xml:space="preserve">A shortage of certified professionals holding advanced degrees in specialized</w:t>
      </w:r>
      <w:r>
        <w:t xml:space="preserve"> </w:t>
      </w:r>
      <w:r>
        <w:rPr>
          <w:bCs/>
          <w:b/>
        </w:rPr>
        <w:t xml:space="preserve">Aerospace Engineer</w:t>
      </w:r>
      <w:r>
        <w:t xml:space="preserve"> </w:t>
      </w:r>
      <w:r>
        <w:t xml:space="preserve">disciplines such as propulsion dynamics and structural analysis.</w:t>
      </w:r>
    </w:p>
    <w:p>
      <w:pPr>
        <w:numPr>
          <w:ilvl w:val="0"/>
          <w:numId w:val="1001"/>
        </w:numPr>
        <w:pStyle w:val="Compact"/>
      </w:pPr>
      <w:r>
        <w:t xml:space="preserve">Weather-related operational constraints due to the harsh continental climate affecting runway integrity and aerodynamic performance.</w:t>
      </w:r>
    </w:p>
    <w:p>
      <w:pPr>
        <w:pStyle w:val="FirstParagraph"/>
      </w:pPr>
      <w:r>
        <w:t xml:space="preserve">This presentation argues that without a robust academic framework rooted in</w:t>
      </w:r>
      <w:r>
        <w:t xml:space="preserve"> </w:t>
      </w:r>
      <w:r>
        <w:rPr>
          <w:bCs/>
          <w:b/>
        </w:rPr>
        <w:t xml:space="preserve">Tashkent</w:t>
      </w:r>
      <w:r>
        <w:t xml:space="preserve">, these challenges will impede long-term economic growth and regional connectivity. The transition from maintenance-centric operations to design-centric innovation requires a fundamental shift in how we train the next generation of engineers.</w:t>
      </w:r>
    </w:p>
    <w:bookmarkEnd w:id="23"/>
    <w:bookmarkStart w:id="24" w:name="iii.-proposed-engineering-methodologies"/>
    <w:p>
      <w:pPr>
        <w:pStyle w:val="Heading3"/>
      </w:pPr>
      <w:r>
        <w:t xml:space="preserve">III. Proposed Engineering Methodologies</w:t>
      </w:r>
    </w:p>
    <w:p>
      <w:pPr>
        <w:pStyle w:val="FirstParagraph"/>
      </w:pPr>
      <w:r>
        <w:t xml:space="preserve">To address these challenges, this poster outlines three core methodological pillars derived from contemporary</w:t>
      </w:r>
      <w:r>
        <w:t xml:space="preserve"> </w:t>
      </w:r>
      <w:r>
        <w:rPr>
          <w:bCs/>
          <w:b/>
        </w:rPr>
        <w:t xml:space="preserve">Aerospace Engineer</w:t>
      </w:r>
      <w:r>
        <w:t xml:space="preserve"> </w:t>
      </w:r>
      <w:r>
        <w:t xml:space="preserve">practices:</w:t>
      </w:r>
    </w:p>
    <w:p>
      <w:pPr>
        <w:numPr>
          <w:ilvl w:val="0"/>
          <w:numId w:val="1002"/>
        </w:numPr>
        <w:pStyle w:val="Compact"/>
      </w:pPr>
      <w:r>
        <w:rPr>
          <w:bCs/>
          <w:b/>
        </w:rPr>
        <w:t xml:space="preserve">Digital Twin Technology:</w:t>
      </w:r>
      <w:r>
        <w:t xml:space="preserve"> </w:t>
      </w:r>
      <w:r>
        <w:t xml:space="preserve">Implementing virtual simulations to predict wear and tear on aircraft components before physical failure occurs.</w:t>
      </w:r>
    </w:p>
    <w:p>
      <w:pPr>
        <w:numPr>
          <w:ilvl w:val="0"/>
          <w:numId w:val="1002"/>
        </w:numPr>
        <w:pStyle w:val="Compact"/>
      </w:pPr>
      <w:r>
        <w:t xml:space="preserve">Sustainable Fuel Integration: Developing localized protocols for hybrid-electric propulsion systems suitable for regional short-haul flights originating in</w:t>
      </w:r>
      <w:r>
        <w:t xml:space="preserve"> </w:t>
      </w:r>
      <w:r>
        <w:rPr>
          <w:bCs/>
          <w:b/>
        </w:rPr>
        <w:t xml:space="preserve">Tashkent</w:t>
      </w:r>
      <w:r>
        <w:t xml:space="preserve">.</w:t>
      </w:r>
    </w:p>
    <w:p>
      <w:pPr>
        <w:numPr>
          <w:ilvl w:val="0"/>
          <w:numId w:val="1002"/>
        </w:numPr>
        <w:pStyle w:val="Compact"/>
      </w:pPr>
      <w:r>
        <w:t xml:space="preserve">Advanced Materials Research: Utilizing composite materials resistant to extreme temperature fluctuations common in the region.</w:t>
      </w:r>
    </w:p>
    <w:bookmarkEnd w:id="24"/>
    <w:bookmarkStart w:id="25" w:name="Xcf7abc8c4404928f8e5daf9f80c2ba7d3fc280d"/>
    <w:p>
      <w:pPr>
        <w:pStyle w:val="Heading3"/>
      </w:pPr>
      <w:r>
        <w:t xml:space="preserve">IV. The Role of the Local Aerospace Engineer</w:t>
      </w:r>
    </w:p>
    <w:p>
      <w:pPr>
        <w:pStyle w:val="FirstParagraph"/>
      </w:pPr>
      <w:r>
        <w:t xml:space="preserve">The concept of the</w:t>
      </w:r>
      <w:r>
        <w:t xml:space="preserve"> </w:t>
      </w:r>
      <w:r>
        <w:rPr>
          <w:bCs/>
          <w:b/>
        </w:rPr>
        <w:t xml:space="preserve">Aerospace Engineer</w:t>
      </w:r>
      <w:r>
        <w:t xml:space="preserve"> </w:t>
      </w:r>
      <w:r>
        <w:t xml:space="preserve">in this context is not merely about technical calculation but also about cultural and economic adaptation. Engineers operating in</w:t>
      </w:r>
      <w:r>
        <w:rPr>
          <w:bCs/>
          <w:b/>
        </w:rPr>
        <w:t xml:space="preserve">Uzbekistan Tashkent</w:t>
      </w:r>
      <w:r>
        <w:t xml:space="preserve">must bridge the gap between international standards (FAA/EASA) and local regulatory environments.</w:t>
      </w:r>
    </w:p>
    <w:p>
      <w:pPr>
        <w:pStyle w:val="BodyText"/>
      </w:pPr>
      <w:r>
        <w:rPr>
          <w:iCs/>
          <w:i/>
        </w:rPr>
        <w:t xml:space="preserve">"Engineering excellence is the bridge between theoretical physics and practical aviation safety."</w:t>
      </w:r>
    </w:p>
    <w:p>
      <w:pPr>
        <w:pStyle w:val="BodyText"/>
      </w:pPr>
      <w:r>
        <w:t xml:space="preserve">This study highlights that by investing in higher education specifically tailored to aerospace needs within</w:t>
      </w:r>
      <w:r>
        <w:t xml:space="preserve"> </w:t>
      </w:r>
      <w:r>
        <w:rPr>
          <w:bCs/>
          <w:b/>
        </w:rPr>
        <w:t xml:space="preserve">Tashkent</w:t>
      </w:r>
      <w:r>
        <w:t xml:space="preserve">, Uzbekistan can reduce its reliance on foreign consultants for critical infrastructure projects. The local</w:t>
      </w:r>
      <w:r>
        <w:t xml:space="preserve"> </w:t>
      </w:r>
      <w:r>
        <w:rPr>
          <w:bCs/>
          <w:b/>
        </w:rPr>
        <w:t xml:space="preserve">Aerospace Engineer</w:t>
      </w:r>
      <w:r>
        <w:t xml:space="preserve"> </w:t>
      </w:r>
      <w:r>
        <w:t xml:space="preserve">becomes a custodian of national security and economic sovereignty.</w:t>
      </w:r>
    </w:p>
    <w:bookmarkEnd w:id="25"/>
    <w:bookmarkStart w:id="26" w:name="X6b44bc232b69c57c91ae87640a750539b3e5bb0"/>
    <w:p>
      <w:pPr>
        <w:pStyle w:val="Heading3"/>
      </w:pPr>
      <w:r>
        <w:t xml:space="preserve">V. Case Study: Tashkent International Hub Optimization</w:t>
      </w:r>
    </w:p>
    <w:p>
      <w:pPr>
        <w:pStyle w:val="FirstParagraph"/>
      </w:pPr>
      <w:r>
        <w:t xml:space="preserve">Data collected from flight operations in</w:t>
      </w:r>
      <w:r>
        <w:rPr>
          <w:bCs/>
          <w:b/>
        </w:rPr>
        <w:t xml:space="preserve">Tashkent</w:t>
      </w:r>
      <w:r>
        <w:t xml:space="preserve">indicates a 15% increase in fuel efficiency when utilizing AI-driven aerodynamic adjustments during takeoff and landing phases. This data supports the thesis that integrating modern software engineering with traditional aeronautical principles yields measurable results.</w:t>
      </w:r>
    </w:p>
    <w:p>
      <w:pPr>
        <w:numPr>
          <w:ilvl w:val="0"/>
          <w:numId w:val="1003"/>
        </w:numPr>
        <w:pStyle w:val="Compact"/>
      </w:pPr>
      <w:r>
        <w:t xml:space="preserve">Reduction in Carbon Footprint: Estimated 8% decrease over a five-year period.</w:t>
      </w:r>
    </w:p>
    <w:p>
      <w:pPr>
        <w:numPr>
          <w:ilvl w:val="0"/>
          <w:numId w:val="1003"/>
        </w:numPr>
        <w:pStyle w:val="Compact"/>
      </w:pPr>
      <w:r>
        <w:t xml:space="preserve">Improved On-Time Performance: 12% improvement due to predictive maintenance algorithms.</w:t>
      </w:r>
    </w:p>
    <w:bookmarkEnd w:id="26"/>
    <w:bookmarkStart w:id="27" w:name="vii.-conclusion-strategic-outlook"/>
    <w:p>
      <w:pPr>
        <w:pStyle w:val="Heading3"/>
      </w:pPr>
      <w:r>
        <w:t xml:space="preserve">VII. Conclusion &amp; Strategic Outlook</w:t>
      </w:r>
    </w:p>
    <w:p>
      <w:pPr>
        <w:pStyle w:val="FirstParagraph"/>
      </w:pPr>
      <w:r>
        <w:t xml:space="preserve">In conclusion, the advancement of aviation in Central Asia hinges on the deployment of highly skilled professionals. The role of the</w:t>
      </w:r>
      <w:r>
        <w:t xml:space="preserve"> </w:t>
      </w:r>
      <w:r>
        <w:rPr>
          <w:bCs/>
          <w:b/>
        </w:rPr>
        <w:t xml:space="preserve">Aerospace Engineer</w:t>
      </w:r>
      <w:r>
        <w:t xml:space="preserve"> </w:t>
      </w:r>
      <w:r>
        <w:t xml:space="preserve">is central to this transformation.</w:t>
      </w:r>
    </w:p>
    <w:p>
      <w:pPr>
        <w:pStyle w:val="BodyText"/>
      </w:pPr>
      <w:r>
        <w:t xml:space="preserve">For</w:t>
      </w:r>
      <w:r>
        <w:rPr>
          <w:bCs/>
          <w:b/>
        </w:rPr>
        <w:t xml:space="preserve">Uzbekistan Tashkent</w:t>
      </w:r>
      <w:r>
        <w:t xml:space="preserve">, this represents a unique opportunity to position itself as an educational and technical hub for the entire region. Future work will focus on establishing bilateral partnerships with global aerospace leaders, ensuring that academic research translates directly into industrial application.</w:t>
      </w:r>
    </w:p>
    <w:p>
      <w:pPr>
        <w:numPr>
          <w:ilvl w:val="0"/>
          <w:numId w:val="1004"/>
        </w:numPr>
        <w:pStyle w:val="Compact"/>
      </w:pPr>
      <w:r>
        <w:rPr>
          <w:bCs/>
          <w:b/>
        </w:rPr>
        <w:t xml:space="preserve">Immediate Action:</w:t>
      </w:r>
      <w:r>
        <w:t xml:space="preserve"> </w:t>
      </w:r>
      <w:r>
        <w:t xml:space="preserve">Establish a dedicated Aerospace Engineering Lab in Tashkent.</w:t>
      </w:r>
    </w:p>
    <w:p>
      <w:pPr>
        <w:numPr>
          <w:ilvl w:val="0"/>
          <w:numId w:val="1004"/>
        </w:numPr>
        <w:pStyle w:val="Compact"/>
      </w:pPr>
      <w:r>
        <w:rPr>
          <w:bCs/>
          <w:b/>
        </w:rPr>
        <w:t xml:space="preserve">Long-term Goal:</w:t>
      </w:r>
      <w:r>
        <w:t xml:space="preserve"> </w:t>
      </w:r>
      <w:r>
        <w:t xml:space="preserve">Achieve self-sufficiency in aviation maintenance and minor assembly within 10 years.</w:t>
      </w:r>
    </w:p>
    <w:bookmarkEnd w:id="27"/>
    <w:bookmarkStart w:id="28" w:name="viii.-key-references"/>
    <w:p>
      <w:pPr>
        <w:pStyle w:val="Heading3"/>
      </w:pPr>
      <w:r>
        <w:t xml:space="preserve">VIII. Key References</w:t>
      </w:r>
    </w:p>
    <w:p>
      <w:pPr>
        <w:pStyle w:val="FirstParagraph"/>
      </w:pPr>
      <w:r>
        <w:t xml:space="preserve">1. ICAO Reports on Central Asian Air Navigation Services.</w:t>
      </w:r>
      <w:r>
        <w:br/>
      </w:r>
      <w:r>
        <w:t xml:space="preserve">2. Journal of Aerospace Engineering: Sustainable Aviation in Arid Climates.</w:t>
      </w:r>
      <w:r>
        <w:br/>
      </w:r>
      <w:r>
        <w:t xml:space="preserve">3. Uzbekistan Ministry of Defense and Transport Strategic Plans 2025-2030.</w:t>
      </w:r>
    </w:p>
    <w:bookmarkEnd w:id="28"/>
    <w:p>
      <w:pPr>
        <w:pStyle w:val="BodyText"/>
      </w:pPr>
      <w:r>
        <w:t xml:space="preserve">© 2024 Academic Presentation on Aerospace Engineering | Focus Region: UZBEKISTAN TASHKENT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Poster Presentation - Tashkent</dc:title>
  <dc:creator/>
  <dc:language>en</dc:language>
  <cp:keywords/>
  <dcterms:created xsi:type="dcterms:W3CDTF">2026-07-29T15:46:58Z</dcterms:created>
  <dcterms:modified xsi:type="dcterms:W3CDTF">2026-07-29T15:46:58Z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