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Architectural</w:t>
      </w:r>
      <w:r>
        <w:t xml:space="preserve"> </w:t>
      </w:r>
      <w:r>
        <w:t xml:space="preserve">Innovations</w:t>
      </w:r>
      <w:r>
        <w:t xml:space="preserve"> </w:t>
      </w:r>
      <w:r>
        <w:t xml:space="preserve">in</w:t>
      </w:r>
      <w:r>
        <w:t xml:space="preserve"> </w:t>
      </w:r>
      <w:r>
        <w:t xml:space="preserve">Australia</w:t>
      </w:r>
      <w:r>
        <w:t xml:space="preserve"> </w:t>
      </w:r>
      <w:r>
        <w:t xml:space="preserve">Brisbane</w:t>
      </w:r>
    </w:p>
    <w:bookmarkStart w:id="20" w:name="X1892f84b7aa743cddf2e61f8a94776cb5e0f7d1"/>
    <w:p>
      <w:pPr>
        <w:pStyle w:val="Heading1"/>
      </w:pPr>
      <w:r>
        <w:t xml:space="preserve">Bridging Tradition and Modernity: The Evolving Role of the Architect in Australia Brisbane</w:t>
      </w:r>
    </w:p>
    <w:p>
      <w:pPr>
        <w:pStyle w:val="FirstParagraph"/>
      </w:pPr>
      <w:r>
        <w:rPr>
          <w:bCs/>
          <w:b/>
        </w:rPr>
        <w:t xml:space="preserve">Presentation by:</w:t>
      </w:r>
      <w:r>
        <w:t xml:space="preserve"> </w:t>
      </w:r>
      <w:r>
        <w:t xml:space="preserve">Senior Research Fellow, School of Urban Planning &amp; Design</w:t>
      </w:r>
    </w:p>
    <w:p>
      <w:pPr>
        <w:pStyle w:val="BodyText"/>
      </w:pPr>
      <w:r>
        <w:rPr>
          <w:iCs/>
          <w:i/>
        </w:rPr>
        <w:t xml:space="preserve">Australia Brisbane Metropolitan Infrastructure Symposium | 2024 Proceedings</w:t>
      </w:r>
    </w:p>
    <w:bookmarkEnd w:id="20"/>
    <w:bookmarkStart w:id="23" w:name="a.-introduction-and-objectives"/>
    <w:p>
      <w:pPr>
        <w:pStyle w:val="Heading2"/>
      </w:pPr>
      <w:r>
        <w:t xml:space="preserve">A. Introduction and Objectives</w:t>
      </w:r>
    </w:p>
    <w:p>
      <w:pPr>
        <w:pStyle w:val="FirstParagraph"/>
      </w:pPr>
      <w:r>
        <w:t xml:space="preserve">The contemporary landscape of Australia Brisbane presents a unique dichotomy between rapid urban densification and the preservation of subtropical heritage. As the capital city of Queensland, Australia Brisbane serves as a critical testing ground for sustainable urban design in high-humidity, coastal environments.</w:t>
      </w:r>
    </w:p>
    <w:bookmarkStart w:id="21" w:name="rationale-for-study"/>
    <w:p>
      <w:pPr>
        <w:pStyle w:val="Heading3"/>
      </w:pPr>
      <w:r>
        <w:t xml:space="preserve">Rationale for Study</w:t>
      </w:r>
    </w:p>
    <w:p>
      <w:pPr>
        <w:pStyle w:val="FirstParagraph"/>
      </w:pPr>
      <w:r>
        <w:t xml:space="preserve">The primary objective of this research is to analyze how the modern Architect must adapt their traditional skill sets to meet the stringent environmental and social demands of Australia Brisbane. This study explores whether current architectural practices are sufficiently agile to address climate change while maintaining cultural continuity.</w:t>
      </w:r>
    </w:p>
    <w:bookmarkEnd w:id="21"/>
    <w:bookmarkStart w:id="22" w:name="hypothesis"/>
    <w:p>
      <w:pPr>
        <w:pStyle w:val="Heading3"/>
      </w:pPr>
      <w:r>
        <w:t xml:space="preserve">Hypothesis</w:t>
      </w:r>
    </w:p>
    <w:p>
      <w:pPr>
        <w:pStyle w:val="FirstParagraph"/>
      </w:pPr>
      <w:r>
        <w:t xml:space="preserve">We hypothesize that architects operating in this specific geographic context must transition from purely aesthetic designers to holistic environmental stewards, integrating biophilic design principles with passive cooling strategies inherent to the subtropical climate of Australia Brisbane.</w:t>
      </w:r>
    </w:p>
    <w:bookmarkEnd w:id="22"/>
    <w:bookmarkEnd w:id="23"/>
    <w:bookmarkStart w:id="24" w:name="b.-methodology"/>
    <w:p>
      <w:pPr>
        <w:pStyle w:val="Heading2"/>
      </w:pPr>
      <w:r>
        <w:t xml:space="preserve">B. Methodology</w:t>
      </w:r>
    </w:p>
    <w:p>
      <w:pPr>
        <w:pStyle w:val="FirstParagraph"/>
      </w:pPr>
      <w:r>
        <w:t xml:space="preserve">This poster presentation details a mixed-methods approach combining quantitative energy modeling with qualitative stakeholder interviews across selected districts in Australia Brisbane.</w:t>
      </w:r>
    </w:p>
    <w:p>
      <w:pPr>
        <w:numPr>
          <w:ilvl w:val="0"/>
          <w:numId w:val="1001"/>
        </w:numPr>
        <w:pStyle w:val="Compact"/>
      </w:pPr>
      <w:r>
        <w:rPr>
          <w:bCs/>
          <w:b/>
        </w:rPr>
        <w:t xml:space="preserve">Case Study Analysis:</w:t>
      </w:r>
      <w:r>
        <w:t xml:space="preserve"> </w:t>
      </w:r>
      <w:r>
        <w:t xml:space="preserve">Three landmark projects in Australia Brisbane were analyzed over a twelve-month period to assess energy consumption and occupant comfort levels.</w:t>
      </w:r>
    </w:p>
    <w:p>
      <w:pPr>
        <w:numPr>
          <w:ilvl w:val="0"/>
          <w:numId w:val="1001"/>
        </w:numPr>
        <w:pStyle w:val="Compact"/>
      </w:pPr>
      <w:r>
        <w:rPr>
          <w:bCs/>
          <w:b/>
        </w:rPr>
        <w:t xml:space="preserve">Simulations:</w:t>
      </w:r>
      <w:r>
        <w:t xml:space="preserve"> </w:t>
      </w:r>
      <w:r>
        <w:t xml:space="preserve">Computational Fluid Dynamics (CFD) simulations were employed to test wind flow and thermal bridging in proposed architectural designs.</w:t>
      </w:r>
    </w:p>
    <w:p>
      <w:pPr>
        <w:numPr>
          <w:ilvl w:val="0"/>
          <w:numId w:val="1001"/>
        </w:numPr>
        <w:pStyle w:val="Compact"/>
      </w:pPr>
      <w:r>
        <w:rPr>
          <w:bCs/>
          <w:b/>
        </w:rPr>
        <w:t xml:space="preserve">Semi-Structured Interviews:</w:t>
      </w:r>
      <w:r>
        <w:t xml:space="preserve"> </w:t>
      </w:r>
      <w:r>
        <w:t xml:space="preserve">Forty-five practicing Architects in Australia Brisbane participated, providing insight into the regulatory challenges and creative adaptations required by local zoning laws.</w:t>
      </w:r>
    </w:p>
    <w:bookmarkEnd w:id="24"/>
    <w:bookmarkStart w:id="26" w:name="c.-results-and-data-analysis"/>
    <w:p>
      <w:pPr>
        <w:pStyle w:val="Heading2"/>
      </w:pPr>
      <w:r>
        <w:t xml:space="preserve">C. Results and Data Analysis</w:t>
      </w:r>
    </w:p>
    <w:p>
      <w:pPr>
        <w:pStyle w:val="FirstParagraph"/>
      </w:pPr>
      <w:r>
        <w:t xml:space="preserve">The data collected reveals significant discrepancies between theoretical architectural design and practical performance in the Australia Brisbane context.</w:t>
      </w:r>
    </w:p>
    <w:p>
      <w:pPr>
        <w:pStyle w:val="BodyText"/>
      </w:pPr>
      <w:r>
        <w:rPr>
          <w:bCs/>
          <w:b/>
        </w:rPr>
        <w:t xml:space="preserve">[Fig. 1:</w:t>
      </w:r>
      <w:r>
        <w:br/>
      </w:r>
      <w:r>
        <w:t xml:space="preserve">Comparative Analysis of Passive Cooling Efficacy in Australia Brisbane High-Rises]</w:t>
      </w:r>
    </w:p>
    <w:p>
      <w:pPr>
        <w:pStyle w:val="BodyText"/>
      </w:pPr>
      <w:r>
        <w:t xml:space="preserve">The primary result indicates that buildings designed with standard international templates—without specific adaptation to the humidity and heat island effects prevalent in Australia Brisbane—show a 30% higher energy consumption rate than those utilizing localized passive strategies.</w:t>
      </w:r>
    </w:p>
    <w:bookmarkStart w:id="25" w:name="climatic-responsiveness"/>
    <w:p>
      <w:pPr>
        <w:pStyle w:val="Heading3"/>
      </w:pPr>
      <w:r>
        <w:t xml:space="preserve">Climatic Responsiveness</w:t>
      </w:r>
    </w:p>
    <w:p>
      <w:pPr>
        <w:pStyle w:val="FirstParagraph"/>
      </w:pPr>
      <w:r>
        <w:t xml:space="preserve">Australia Brisbane experiences distinct wet and dry seasons. The study found that Architects who integrated cross-ventilation pathways effectively reduced air conditioning dependency by up to 40%. This underscores the critical importance of orientation and building massing in local architectural practice.</w:t>
      </w:r>
    </w:p>
    <w:bookmarkEnd w:id="25"/>
    <w:bookmarkEnd w:id="26"/>
    <w:bookmarkStart w:id="28" w:name="d.-discussion"/>
    <w:p>
      <w:pPr>
        <w:pStyle w:val="Heading2"/>
      </w:pPr>
      <w:r>
        <w:t xml:space="preserve">D. Discussion</w:t>
      </w:r>
    </w:p>
    <w:p>
      <w:pPr>
        <w:pStyle w:val="FirstParagraph"/>
      </w:pPr>
      <w:r>
        <w:t xml:space="preserve">The results suggest a clear gap in current educational frameworks for Architects working outside their native climates. For those practicing in Australia Brisbane, understanding micro-climates is not optional but essential.</w:t>
      </w:r>
    </w:p>
    <w:p>
      <w:pPr>
        <w:pStyle w:val="BodyText"/>
      </w:pPr>
      <w:r>
        <w:t xml:space="preserve">The discussion highlights the tension between aesthetic modernism and functional necessity. While clients often demand sleek glass facades prevalent in global design trends, the harsh solar radiation of Australia Brisbane renders these structures thermally inefficient unless heavily treated with external shading devices or smart glazing technologies.</w:t>
      </w:r>
    </w:p>
    <w:bookmarkStart w:id="27" w:name="regulatory-adaptation"/>
    <w:p>
      <w:pPr>
        <w:pStyle w:val="Heading3"/>
      </w:pPr>
      <w:r>
        <w:t xml:space="preserve">Regulatory Adaptation</w:t>
      </w:r>
    </w:p>
    <w:p>
      <w:pPr>
        <w:pStyle w:val="FirstParagraph"/>
      </w:pPr>
      <w:r>
        <w:t xml:space="preserve">We also observed that local regulations in Australia Brisbane are increasingly mandating higher sustainability standards. Architects are finding themselves navigating complex compliance requirements that demand early-stage collaboration with structural engineers and landscape architects, moving away from siloed design practices.</w:t>
      </w:r>
    </w:p>
    <w:bookmarkEnd w:id="27"/>
    <w:bookmarkEnd w:id="28"/>
    <w:bookmarkStart w:id="29" w:name="e.-conclusions-and-implications"/>
    <w:p>
      <w:pPr>
        <w:pStyle w:val="Heading2"/>
      </w:pPr>
      <w:r>
        <w:t xml:space="preserve">E. Conclusions and Implications</w:t>
      </w:r>
    </w:p>
    <w:p>
      <w:pPr>
        <w:pStyle w:val="FirstParagraph"/>
      </w:pPr>
      <w:r>
        <w:t xml:space="preserve">The role of the Architect in Australia Brisbane is undergoing a fundamental paradigm shift. It is no longer sufficient to design structures that are merely visually striking; they must be regenerative and resilient.</w:t>
      </w:r>
    </w:p>
    <w:p>
      <w:pPr>
        <w:numPr>
          <w:ilvl w:val="0"/>
          <w:numId w:val="1002"/>
        </w:numPr>
        <w:pStyle w:val="Compact"/>
      </w:pPr>
      <w:r>
        <w:rPr>
          <w:bCs/>
          <w:b/>
        </w:rPr>
        <w:t xml:space="preserve">Sustainability as Standard:</w:t>
      </w:r>
      <w:r>
        <w:t xml:space="preserve"> </w:t>
      </w:r>
      <w:r>
        <w:t xml:space="preserve">Green building certification in Australia Brisbane must become the baseline standard rather than an optional luxury.</w:t>
      </w:r>
    </w:p>
    <w:p>
      <w:pPr>
        <w:numPr>
          <w:ilvl w:val="0"/>
          <w:numId w:val="1002"/>
        </w:numPr>
        <w:pStyle w:val="Compact"/>
      </w:pPr>
      <w:r>
        <w:rPr>
          <w:bCs/>
          <w:b/>
        </w:rPr>
        <w:t xml:space="preserve">Cultural Sensitivity:</w:t>
      </w:r>
      <w:r>
        <w:t xml:space="preserve"> </w:t>
      </w:r>
      <w:r>
        <w:t xml:space="preserve">Architects must respect the indigenous ecological knowledge of Queensland, incorporating native vegetation and materials that have withstood local environmental pressures for millennia.</w:t>
      </w:r>
    </w:p>
    <w:p>
      <w:pPr>
        <w:numPr>
          <w:ilvl w:val="0"/>
          <w:numId w:val="1002"/>
        </w:numPr>
        <w:pStyle w:val="Compact"/>
      </w:pPr>
      <w:r>
        <w:t xml:space="preserve">Urban Density Management:</w:t>
      </w:r>
    </w:p>
    <w:bookmarkEnd w:id="29"/>
    <w:bookmarkStart w:id="30" w:name="f.-implications-for-practice"/>
    <w:p>
      <w:pPr>
        <w:pStyle w:val="Heading2"/>
      </w:pPr>
      <w:r>
        <w:t xml:space="preserve">F. Implications for Practice</w:t>
      </w:r>
    </w:p>
    <w:p>
      <w:pPr>
        <w:pStyle w:val="FirstParagraph"/>
      </w:pPr>
      <w:r>
        <w:t xml:space="preserve">The architectural community must prioritize continuous professional development focused on climate-responsive design. Firms operating in Australia Brisbane should establish dedicated sustainability units within their practices to ensure that every project benefits from specialized expertise regarding local environmental conditions.</w:t>
      </w:r>
    </w:p>
    <w:bookmarkEnd w:id="30"/>
    <w:bookmarkStart w:id="31" w:name="g.-future-work"/>
    <w:p>
      <w:pPr>
        <w:pStyle w:val="Heading2"/>
      </w:pPr>
      <w:r>
        <w:t xml:space="preserve">G. Future Work</w:t>
      </w:r>
    </w:p>
    <w:p>
      <w:pPr>
        <w:pStyle w:val="FirstParagraph"/>
      </w:pPr>
      <w:r>
        <w:t xml:space="preserve">This study lays the groundwork for further investigation into the long-term maintenance costs of different architectural typologies in Australia Brisbane. Future research will focus on integrating AI-driven design tools to automatically optimize building forms based on real-time weather data from Queensland meteorological stations.</w:t>
      </w:r>
    </w:p>
    <w:bookmarkEnd w:id="31"/>
    <w:bookmarkStart w:id="32" w:name="h.-references"/>
    <w:p>
      <w:pPr>
        <w:pStyle w:val="Heading2"/>
      </w:pPr>
      <w:r>
        <w:t xml:space="preserve">H. References</w:t>
      </w:r>
    </w:p>
    <w:p>
      <w:pPr>
        <w:numPr>
          <w:ilvl w:val="0"/>
          <w:numId w:val="1003"/>
        </w:numPr>
        <w:pStyle w:val="Compact"/>
      </w:pPr>
      <w:r>
        <w:t xml:space="preserve">1. Queensland Government Dept of Environment (2023). Urban Heat Island Mitigation Strategies.</w:t>
      </w:r>
    </w:p>
    <w:p>
      <w:pPr>
        <w:numPr>
          <w:ilvl w:val="0"/>
          <w:numId w:val="1003"/>
        </w:numPr>
        <w:pStyle w:val="Compact"/>
      </w:pPr>
      <w:r>
        <w:t xml:space="preserve">2. Australian Institute of Architects (2024). Best Practice Guidelines for Subtropical Climates.</w:t>
      </w:r>
    </w:p>
    <w:p>
      <w:pPr>
        <w:numPr>
          <w:ilvl w:val="0"/>
          <w:numId w:val="1003"/>
        </w:numPr>
        <w:pStyle w:val="Compact"/>
      </w:pPr>
      <w:r>
        <w:t xml:space="preserve">3. Smith, J., &amp; Doe, A. (Eds.). *Sustainable Design in the Asia-Pacific Region*. Brisbane University Press.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Architectural Innovations in Australia Brisbane</dc:title>
  <dc:creator/>
  <dc:language>en</dc:language>
  <cp:keywords/>
  <dcterms:created xsi:type="dcterms:W3CDTF">2026-07-29T09:32:55Z</dcterms:created>
  <dcterms:modified xsi:type="dcterms:W3CDTF">2026-07-29T09:32:55Z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