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Architectural</w:t>
      </w:r>
      <w:r>
        <w:t xml:space="preserve"> </w:t>
      </w:r>
      <w:r>
        <w:t xml:space="preserve">Excellence</w:t>
      </w:r>
      <w:r>
        <w:t xml:space="preserve"> </w:t>
      </w:r>
      <w:r>
        <w:t xml:space="preserve">in</w:t>
      </w:r>
      <w:r>
        <w:t xml:space="preserve"> </w:t>
      </w:r>
      <w:r>
        <w:t xml:space="preserve">Melbourne:</w:t>
      </w:r>
      <w:r>
        <w:t xml:space="preserve"> </w:t>
      </w:r>
      <w:r>
        <w:t xml:space="preserve">A</w:t>
      </w:r>
      <w:r>
        <w:t xml:space="preserve"> </w:t>
      </w:r>
      <w:r>
        <w:t xml:space="preserve">Poster</w:t>
      </w:r>
      <w:r>
        <w:t xml:space="preserve"> </w:t>
      </w:r>
      <w:r>
        <w:t xml:space="preserve">Presentation</w:t>
      </w:r>
    </w:p>
    <w:bookmarkStart w:id="20" w:name="bridging-heritage-and-innovation"/>
    <w:p>
      <w:pPr>
        <w:pStyle w:val="Heading1"/>
      </w:pPr>
      <w:r>
        <w:t xml:space="preserve">Bridging Heritage and Innovation</w:t>
      </w:r>
    </w:p>
    <w:p>
      <w:pPr>
        <w:pStyle w:val="FirstParagraph"/>
      </w:pPr>
      <w:r>
        <w:rPr>
          <w:bCs/>
          <w:b/>
        </w:rPr>
        <w:t xml:space="preserve">The Evolving Role of the Architect in Australia Melbourne</w:t>
      </w:r>
    </w:p>
    <w:p>
      <w:pPr>
        <w:pStyle w:val="BodyText"/>
      </w:pPr>
      <w:r>
        <w:br/>
      </w:r>
    </w:p>
    <w:p>
      <w:pPr>
        <w:pStyle w:val="BodyText"/>
      </w:pPr>
      <w:r>
        <w:rPr>
          <w:iCs/>
          <w:i/>
        </w:rPr>
        <w:t xml:space="preserve">Author Name, AIA Member</w:t>
      </w:r>
    </w:p>
    <w:p>
      <w:pPr>
        <w:pStyle w:val="BodyText"/>
      </w:pPr>
      <w:r>
        <w:rPr>
          <w:iCs/>
          <w:i/>
        </w:rPr>
        <w:t xml:space="preserve">Melbourne University of Architecture &amp; Planning</w:t>
      </w:r>
    </w:p>
    <w:bookmarkEnd w:id="20"/>
    <w:bookmarkStart w:id="23" w:name="introduction-and-context"/>
    <w:p>
      <w:pPr>
        <w:pStyle w:val="Heading2"/>
      </w:pPr>
      <w:r>
        <w:t xml:space="preserve">Introduction and Context</w:t>
      </w:r>
    </w:p>
    <w:p>
      <w:pPr>
        <w:pStyle w:val="FirstParagraph"/>
      </w:pPr>
      <w:r>
        <w:t xml:space="preserve">The contemporary landscape of the built environment in Australia Melbourne is undergoing a profound transformation. As one of the most culturally diverse and rapidly urbanizing cities globally, Australia Melbourne demands a new paradigm for architectural practice. The traditional role of the architect—often viewed strictly as a designer of static forms—is expanding into that of a cultural mediator, sustainability champion, and community facilitator.</w:t>
      </w:r>
    </w:p>
    <w:bookmarkStart w:id="21" w:name="the-unique-challenge"/>
    <w:p>
      <w:pPr>
        <w:pStyle w:val="Heading3"/>
      </w:pPr>
      <w:r>
        <w:t xml:space="preserve">The Unique Challenge</w:t>
      </w:r>
    </w:p>
    <w:p>
      <w:pPr>
        <w:pStyle w:val="FirstParagraph"/>
      </w:pPr>
      <w:r>
        <w:t xml:space="preserve">In the context of Australia Melbourne, architects face unique pressures. The city is renowned for its laneway culture, high-density living initiatives, and strict heritage overlays. Consequently, the modern architect must balance innovation with preservation. This poster presentation explores how architects in this dynamic city are adapting their methodologies to meet these dual demands.</w:t>
      </w:r>
    </w:p>
    <w:bookmarkEnd w:id="21"/>
    <w:bookmarkStart w:id="22" w:name="key-objectives"/>
    <w:p>
      <w:pPr>
        <w:pStyle w:val="Heading3"/>
      </w:pPr>
      <w:r>
        <w:t xml:space="preserve">Key Objectives</w:t>
      </w:r>
    </w:p>
    <w:p>
      <w:pPr>
        <w:numPr>
          <w:ilvl w:val="0"/>
          <w:numId w:val="1001"/>
        </w:numPr>
        <w:pStyle w:val="Compact"/>
      </w:pPr>
      <w:r>
        <w:t xml:space="preserve">Analyze current trends in high-density residential design within Australia Melbourne.</w:t>
      </w:r>
    </w:p>
    <w:p>
      <w:pPr>
        <w:numPr>
          <w:ilvl w:val="0"/>
          <w:numId w:val="1001"/>
        </w:numPr>
        <w:pStyle w:val="Compact"/>
      </w:pPr>
      <w:r>
        <w:t xml:space="preserve">Evaluate the impact of sustainability on the daily workflow of an architect.</w:t>
      </w:r>
    </w:p>
    <w:p>
      <w:pPr>
        <w:numPr>
          <w:ilvl w:val="0"/>
          <w:numId w:val="1001"/>
        </w:numPr>
        <w:pStyle w:val="Compact"/>
      </w:pPr>
      <w:r>
        <w:t xml:space="preserve">Determine how digital technologies are reshaping client engagement in this region.</w:t>
      </w:r>
    </w:p>
    <w:bookmarkEnd w:id="22"/>
    <w:bookmarkEnd w:id="23"/>
    <w:bookmarkStart w:id="27" w:name="methology-and-design-philosophy"/>
    <w:p>
      <w:pPr>
        <w:pStyle w:val="Heading2"/>
      </w:pPr>
      <w:r>
        <w:t xml:space="preserve">Methology and Design Philosophy</w:t>
      </w:r>
    </w:p>
    <w:p>
      <w:pPr>
        <w:pStyle w:val="FirstParagraph"/>
      </w:pPr>
      <w:r>
        <w:t xml:space="preserve">This presentation is based on a mixed-method study involving case studies of major projects across Australia Melbourne. The methodology examines the intersection of climate responsiveness, cultural heritage, and modern technological integration.</w:t>
      </w:r>
    </w:p>
    <w:bookmarkStart w:id="24" w:name="sustainability-as-standard-practice"/>
    <w:p>
      <w:pPr>
        <w:pStyle w:val="Heading3"/>
      </w:pPr>
      <w:r>
        <w:t xml:space="preserve">Sustainability as Standard Practice</w:t>
      </w:r>
    </w:p>
    <w:p>
      <w:pPr>
        <w:pStyle w:val="FirstParagraph"/>
      </w:pPr>
      <w:r>
        <w:t xml:space="preserve">In the past decade, sustainability has shifted from a luxury add-on to a fundamental requirement for an architect operating in Australia Melbourne. With increasing awareness of climate change impacts on coastal cities, architects are prioritizing passive solar design, thermal mass usage, and green materials. For example, recent high-rise developments in the Melbourne CBD have incorporated vertical gardens and rainwater harvesting systems as standard features rather than optional extras.</w:t>
      </w:r>
    </w:p>
    <w:bookmarkEnd w:id="24"/>
    <w:bookmarkStart w:id="25" w:name="digital-integration-and-bim"/>
    <w:p>
      <w:pPr>
        <w:pStyle w:val="Heading3"/>
      </w:pPr>
      <w:r>
        <w:t xml:space="preserve">Digital Integration and BIM</w:t>
      </w:r>
    </w:p>
    <w:p>
      <w:pPr>
        <w:pStyle w:val="FirstParagraph"/>
      </w:pPr>
      <w:r>
        <w:t xml:space="preserve">The adoption of Building Information Modelling (BIM) has revolutionized how an architect collaborates with engineers and builders. In the complex urban fabric of Australia Melbourne, where site constraints are tight, BIM allows for precise clash detection before construction begins. This technological proficiency is now a core competency expected of every practicing architect.</w:t>
      </w:r>
    </w:p>
    <w:bookmarkEnd w:id="25"/>
    <w:bookmarkStart w:id="26" w:name="the-architect-as-mediator"/>
    <w:p>
      <w:pPr>
        <w:pStyle w:val="Heading3"/>
      </w:pPr>
      <w:r>
        <w:t xml:space="preserve">The Architect as Mediator</w:t>
      </w:r>
    </w:p>
    <w:p>
      <w:pPr>
        <w:pStyle w:val="FirstParagraph"/>
      </w:pPr>
      <w:r>
        <w:t xml:space="preserve">Beyond technical skills, the role of an architect in this multicultural hub requires strong soft skills. Architects must navigate complex zoning laws and community expectations. They act as mediators between developer interests and community heritage concerns, ensuring that new developments respect the unique character of Melbourne’s neighborhoods.</w:t>
      </w:r>
    </w:p>
    <w:bookmarkEnd w:id="26"/>
    <w:bookmarkEnd w:id="27"/>
    <w:bookmarkStart w:id="29" w:name="results-and-discussion"/>
    <w:p>
      <w:pPr>
        <w:pStyle w:val="Heading2"/>
      </w:pPr>
      <w:r>
        <w:t xml:space="preserve">Results and Discussion</w:t>
      </w:r>
    </w:p>
    <w:p>
      <w:pPr>
        <w:pStyle w:val="FirstParagraph"/>
      </w:pPr>
      <w:r>
        <w:t xml:space="preserve">The data indicates a significant shift in public perception regarding the value of professional architectural services. Residents in Australia Melbourne increasingly demand bespoke solutions that reflect local identity rather than generic global designs.</w:t>
      </w:r>
    </w:p>
    <w:p>
      <w:pPr>
        <w:numPr>
          <w:ilvl w:val="0"/>
          <w:numId w:val="1002"/>
        </w:numPr>
        <w:pStyle w:val="Compact"/>
      </w:pPr>
      <w:r>
        <w:rPr>
          <w:bCs/>
          <w:b/>
        </w:rPr>
        <w:t xml:space="preserve">Aesthetic Integration:</w:t>
      </w:r>
      <w:r>
        <w:t xml:space="preserve"> </w:t>
      </w:r>
      <w:r>
        <w:t xml:space="preserve">Successful projects blend modern lines with historical brickwork, creating a dialogue between the old and new.</w:t>
      </w:r>
    </w:p>
    <w:p>
      <w:pPr>
        <w:numPr>
          <w:ilvl w:val="0"/>
          <w:numId w:val="1002"/>
        </w:numPr>
        <w:pStyle w:val="Compact"/>
      </w:pPr>
      <w:r>
        <w:rPr>
          <w:bCs/>
          <w:b/>
        </w:rPr>
        <w:t xml:space="preserve">Economic Viability:</w:t>
      </w:r>
      <w:r>
        <w:t xml:space="preserve"> </w:t>
      </w:r>
      <w:r>
        <w:t xml:space="preserve">While sustainable features have higher upfront costs, they offer long-term economic benefits through reduced energy bills.</w:t>
      </w:r>
    </w:p>
    <w:p>
      <w:pPr>
        <w:numPr>
          <w:ilvl w:val="0"/>
          <w:numId w:val="1002"/>
        </w:numPr>
        <w:pStyle w:val="Compact"/>
      </w:pPr>
      <w:r>
        <w:rPr>
          <w:bCs/>
          <w:b/>
        </w:rPr>
        <w:t xml:space="preserve">Social Cohesion:</w:t>
      </w:r>
      <w:r>
        <w:t xml:space="preserve"> </w:t>
      </w:r>
      <w:r>
        <w:t xml:space="preserve">Designing communal spaces in high-density areas has been shown to improve social interaction among diverse populations.</w:t>
      </w:r>
    </w:p>
    <w:bookmarkStart w:id="28" w:name="the-role-of-the-architect"/>
    <w:p>
      <w:pPr>
        <w:pStyle w:val="Heading3"/>
      </w:pPr>
      <w:r>
        <w:t xml:space="preserve">The Role of the Architect</w:t>
      </w:r>
    </w:p>
    <w:p>
      <w:pPr>
        <w:pStyle w:val="FirstParagraph"/>
      </w:pPr>
      <w:r>
        <w:t xml:space="preserve">To remain relevant, the architect must embrace a holistic approach. This involves not just drawing plans, but actively participating in urban planning policy and community education. The findings suggest that architects who engage early with local government bodies in Australia Melbourne achieve smoother approvals and more successful final outcomes.</w:t>
      </w:r>
    </w:p>
    <w:bookmarkEnd w:id="28"/>
    <w:bookmarkEnd w:id="29"/>
    <w:bookmarkStart w:id="30" w:name="conclusion"/>
    <w:p>
      <w:pPr>
        <w:pStyle w:val="Heading2"/>
      </w:pPr>
      <w:r>
        <w:t xml:space="preserve">Conclusion</w:t>
      </w:r>
    </w:p>
    <w:p>
      <w:pPr>
        <w:pStyle w:val="FirstParagraph"/>
      </w:pPr>
      <w:r>
        <w:t xml:space="preserve">The future of architecture lies in adaptability. For the professional architect operating within Australia Melbourne, success is defined by the ability to harmonize historical respect with forward-thinking innovation. As urban density increases, the responsibility placed upon each architect grows.</w:t>
      </w:r>
    </w:p>
    <w:p>
      <w:pPr>
        <w:pStyle w:val="BodyText"/>
      </w:pPr>
      <w:r>
        <w:t xml:space="preserve">This presentation concludes that by leveraging digital tools, committing to rigorous sustainability standards, and maintaining deep cultural sensitivity, architects will continue to be vital custodians of Melbourne's evolving skyline. The challenge is not just to build structures but to cultivate communities.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Architectural Excellence in Melbourne: A Poster Presentation</dc:title>
  <dc:creator/>
  <dc:language>en</dc:language>
  <cp:keywords/>
  <dcterms:created xsi:type="dcterms:W3CDTF">2026-07-29T01:54:48Z</dcterms:created>
  <dcterms:modified xsi:type="dcterms:W3CDTF">2026-07-29T01:54:48Z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