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p>
    <w:bookmarkStart w:id="21" w:name="bridging-tradition-and-innovation"/>
    <w:p>
      <w:pPr>
        <w:pStyle w:val="Heading1"/>
      </w:pPr>
      <w:r>
        <w:t xml:space="preserve">Bridging Tradition and Innovation:</w:t>
      </w:r>
    </w:p>
    <w:bookmarkStart w:id="20" w:name="X1885cf7b7db48cf9852a0297f01e3e5978bff83"/>
    <w:p>
      <w:pPr>
        <w:pStyle w:val="Heading2"/>
      </w:pPr>
      <w:r>
        <w:t xml:space="preserve">The Evolving Role of the Architect in Canada Toronto’s Urban Landscape</w:t>
      </w:r>
    </w:p>
    <w:p>
      <w:pPr>
        <w:pStyle w:val="FirstParagraph"/>
      </w:pPr>
      <w:r>
        <w:rPr>
          <w:bCs/>
          <w:b/>
        </w:rPr>
        <w:t xml:space="preserve">A Poster Presentation on Sustainable Design, Cultural Integration, and Regulatory Navigation</w:t>
      </w:r>
    </w:p>
    <w:bookmarkEnd w:id="20"/>
    <w:bookmarkEnd w:id="21"/>
    <w:bookmarkStart w:id="22" w:name="abstract"/>
    <w:p>
      <w:pPr>
        <w:pStyle w:val="Heading2"/>
      </w:pPr>
      <w:r>
        <w:t xml:space="preserve">Abstract</w:t>
      </w:r>
    </w:p>
    <w:p>
      <w:pPr>
        <w:pStyle w:val="FirstParagraph"/>
      </w:pPr>
      <w:r>
        <w:t xml:space="preserve">This poster presentation explores the critical and multifaceted role of the Architect within the dynamic context of Canada Toronto. As one of North America’s most rapidly growing metropolitan areas, Toronto presents unique challenges regarding density, heritage preservation, and environmental sustainability. This study analyzes how contemporary architects are redefining their professional scope to meet these demands. By examining case studies from recent developments in neighborhoods such as the Waterfront District and the East Bayfront, this presentation highlights strategies for integrating indigenous design principles with modern high-rise construction. Furthermore, it addresses the necessity for architects to act not only as designers but also as community mediators and regulatory navigators within Canada Toronto’s complex municipal framework. The findings suggest that a holistic approach, combining technical expertise with social responsibility, is essential for the future of urban architecture in this region.</w:t>
      </w:r>
    </w:p>
    <w:bookmarkEnd w:id="22"/>
    <w:bookmarkStart w:id="23" w:name="Xad0efa3bb6697a5ca27afebe4b6babe29d7bbcf"/>
    <w:p>
      <w:pPr>
        <w:pStyle w:val="Heading2"/>
      </w:pPr>
      <w:r>
        <w:t xml:space="preserve">1. Introduction: The Context of Canada Toronto</w:t>
      </w:r>
    </w:p>
    <w:p>
      <w:pPr>
        <w:pStyle w:val="FirstParagraph"/>
      </w:pPr>
      <w:r>
        <w:t xml:space="preserve">Toronto stands as a beacon of multiculturalism and economic vitality in Canada. However, this growth has precipitated a housing crisis and an urgent need for sustainable urban planning. For the Architect operating in this environment, the mandate extends beyond aesthetic creation. The modern architect must function as a steward of public space and a guardian of environmental standards.</w:t>
      </w:r>
    </w:p>
    <w:p>
      <w:pPr>
        <w:pStyle w:val="BodyText"/>
      </w:pPr>
      <w:r>
        <w:t xml:space="preserve">In</w:t>
      </w:r>
      <w:r>
        <w:t xml:space="preserve"> </w:t>
      </w:r>
      <w:r>
        <w:rPr>
          <w:bCs/>
          <w:b/>
        </w:rPr>
        <w:t xml:space="preserve">Canada Toronto</w:t>
      </w:r>
      <w:r>
        <w:t xml:space="preserve">, the architectural landscape is characterized by a juxtaposition of historic Victorian structures and soaring contemporary glass towers. This duality requires architects to possess a nuanced understanding of context-sensitive design. The challenge lies in creating developments that honor the past while embracing technological innovation, ensuring that new constructions do not disrupt the cultural fabric or environmental balance of established communities.</w:t>
      </w:r>
    </w:p>
    <w:bookmarkEnd w:id="23"/>
    <w:bookmarkStart w:id="24" w:name="X0f036581bf4a0612b4b1c52f25a0d79aef00a59"/>
    <w:p>
      <w:pPr>
        <w:pStyle w:val="Heading2"/>
      </w:pPr>
      <w:r>
        <w:t xml:space="preserve">2. Key Challenges for the Contemporary Architect</w:t>
      </w:r>
    </w:p>
    <w:p>
      <w:pPr>
        <w:numPr>
          <w:ilvl w:val="0"/>
          <w:numId w:val="1001"/>
        </w:numPr>
        <w:pStyle w:val="Compact"/>
      </w:pPr>
      <w:r>
        <w:rPr>
          <w:bCs/>
          <w:b/>
        </w:rPr>
        <w:t xml:space="preserve">Zoning and Regulatory Complexity:</w:t>
      </w:r>
      <w:r>
        <w:t xml:space="preserve"> Architects in Canada Toronto must navigate a labyrinth of municipal zoning bylaws, heritage designation rules, and provincial building codes. Compliance is not merely a legal hurdle but a design constraint that shapes the final output.</w:t>
      </w:r>
    </w:p>
    <w:p>
      <w:pPr>
        <w:numPr>
          <w:ilvl w:val="0"/>
          <w:numId w:val="1001"/>
        </w:numPr>
        <w:pStyle w:val="Compact"/>
      </w:pPr>
      <w:r>
        <w:rPr>
          <w:bCs/>
          <w:b/>
        </w:rPr>
        <w:t xml:space="preserve">Sustainability Demands:</w:t>
      </w:r>
      <w:r>
        <w:t xml:space="preserve"> With aggressive goals for carbon neutrality set by the city of Toronto, architects are under pressure to incorporate green technologies. This includes net-zero energy buildings, sustainable material sourcing, and passive house design principles.</w:t>
      </w:r>
    </w:p>
    <w:p>
      <w:pPr>
        <w:numPr>
          <w:ilvl w:val="0"/>
          <w:numId w:val="1001"/>
        </w:numPr>
        <w:pStyle w:val="Compact"/>
      </w:pPr>
      <w:r>
        <w:rPr>
          <w:bCs/>
          <w:b/>
        </w:rPr>
        <w:t xml:space="preserve">High-Density Living:</w:t>
      </w:r>
      <w:r>
        <w:t xml:space="preserve"> Creating livable spaces in high-rise environments requires innovative solutions for privacy, natural light access, and communal areas. The architect must optimize square footage without sacrificing human well-being.</w:t>
      </w:r>
    </w:p>
    <w:bookmarkEnd w:id="24"/>
    <w:bookmarkStart w:id="25" w:name="methodology-and-case-studies"/>
    <w:p>
      <w:pPr>
        <w:pStyle w:val="Heading2"/>
      </w:pPr>
      <w:r>
        <w:t xml:space="preserve">3. Methodology and Case Studies</w:t>
      </w:r>
    </w:p>
    <w:p>
      <w:pPr>
        <w:pStyle w:val="FirstParagraph"/>
      </w:pPr>
      <w:r>
        <w:t xml:space="preserve"> </w:t>
      </w:r>
    </w:p>
    <w:p>
      <w:pPr>
        <w:pStyle w:val="BodyText"/>
      </w:pPr>
      <w:r>
        <w:t xml:space="preserve">To illustrate the evolving role of the Architect, this presentation analyzes three distinct projects in Canada Toronto:</w:t>
      </w:r>
    </w:p>
    <w:p>
      <w:pPr>
        <w:numPr>
          <w:ilvl w:val="0"/>
          <w:numId w:val="1002"/>
        </w:numPr>
        <w:pStyle w:val="Compact"/>
      </w:pPr>
      <w:r>
        <w:rPr>
          <w:bCs/>
          <w:b/>
        </w:rPr>
        <w:t xml:space="preserve">The Waterfront Revitalization Project:</w:t>
      </w:r>
      <w:r>
        <w:t xml:space="preserve"> Analyzing how architects have transformed industrial port land into a mixed-use community. This case study highlights the integration of public transit-oriented development (TOD) and flood-resilient design.</w:t>
      </w:r>
    </w:p>
    <w:p>
      <w:pPr>
        <w:numPr>
          <w:ilvl w:val="0"/>
          <w:numId w:val="1002"/>
        </w:numPr>
        <w:pStyle w:val="Compact"/>
      </w:pPr>
      <w:r>
        <w:rPr>
          <w:bCs/>
          <w:b/>
        </w:rPr>
        <w:t xml:space="preserve">Tor Islands Restoration:</w:t>
      </w:r>
      <w:r>
        <w:t xml:space="preserve"> A focus on heritage conservation, demonstrating how architects preserve historical integrity while introducing modern amenities. This project underscores the importance of cultural continuity in urban renewal.</w:t>
      </w:r>
    </w:p>
    <w:p>
      <w:pPr>
        <w:numPr>
          <w:ilvl w:val="0"/>
          <w:numId w:val="1002"/>
        </w:numPr>
        <w:pStyle w:val="Compact"/>
      </w:pPr>
      <w:r>
        <w:rPr>
          <w:bCs/>
          <w:b/>
        </w:rPr>
        <w:t xml:space="preserve">Sustainable Housing Initiatives:</w:t>
      </w:r>
      <w:r>
        <w:t xml:space="preserve"> Examining recent affordable housing developments that utilize modular construction and renewable energy systems. These projects demonstrate the architect’s role in addressing social equity through design.</w:t>
      </w:r>
    </w:p>
    <w:p>
      <w:pPr>
        <w:pStyle w:val="FirstParagraph"/>
      </w:pPr>
      <w:r>
        <w:t xml:space="preserve"> </w:t>
      </w:r>
    </w:p>
    <w:p>
      <w:pPr>
        <w:pStyle w:val="BodyText"/>
      </w:pPr>
      <w:r>
        <w:t xml:space="preserve">These case studies reveal common threads: collaboration with urban planners, engagement with local communities, and a steadfast commitment to environmental performance.</w:t>
      </w:r>
    </w:p>
    <w:bookmarkEnd w:id="25"/>
    <w:bookmarkStart w:id="26" w:name="Xa2ebeb5709f2dab8b715dd9bec34c7cbd155f13"/>
    <w:p>
      <w:pPr>
        <w:pStyle w:val="Heading2"/>
      </w:pPr>
      <w:r>
        <w:t xml:space="preserve">4. Discussion: The Architect as Community Facilitator</w:t>
      </w:r>
    </w:p>
    <w:p>
      <w:pPr>
        <w:pStyle w:val="FirstParagraph"/>
      </w:pPr>
      <w:r>
        <w:t xml:space="preserve"> </w:t>
      </w:r>
    </w:p>
    <w:p>
      <w:pPr>
        <w:pStyle w:val="BodyText"/>
      </w:pPr>
      <w:r>
        <w:t xml:space="preserve">The data suggests that the most successful projects in Canada Toronto are those where the architect acts as a facilitator. This involves:</w:t>
      </w:r>
    </w:p>
    <w:p>
      <w:pPr>
        <w:pStyle w:val="BodyText"/>
      </w:pPr>
      <w:r>
        <w:t xml:space="preserve"> </w:t>
      </w:r>
    </w:p>
    <w:p>
      <w:pPr>
        <w:numPr>
          <w:ilvl w:val="0"/>
          <w:numId w:val="1003"/>
        </w:numPr>
        <w:pStyle w:val="Compact"/>
      </w:pPr>
      <w:r>
        <w:rPr>
          <w:bCs/>
          <w:b/>
        </w:rPr>
        <w:t xml:space="preserve">Stakeholder Engagement:</w:t>
      </w:r>
      <w:r>
        <w:t xml:space="preserve"> Conducting town halls and public consultations to ensure designs reflect community needs.</w:t>
      </w:r>
    </w:p>
    <w:p>
      <w:pPr>
        <w:numPr>
          <w:ilvl w:val="0"/>
          <w:numId w:val="1003"/>
        </w:numPr>
        <w:pStyle w:val="Compact"/>
      </w:pPr>
      <w:r>
        <w:rPr>
          <w:bCs/>
          <w:b/>
        </w:rPr>
        <w:t xml:space="preserve">Cultural Sensitivity:</w:t>
      </w:r>
      <w:r>
        <w:t xml:space="preserve"> Incorporating design elements that reflect Toronto’s diverse demographics, including indigenous art installations and culturally inclusive communal spaces.</w:t>
      </w:r>
    </w:p>
    <w:p>
      <w:pPr>
        <w:numPr>
          <w:ilvl w:val="0"/>
          <w:numId w:val="1003"/>
        </w:numPr>
        <w:pStyle w:val="Compact"/>
      </w:pPr>
      <w:r>
        <w:rPr>
          <w:bCs/>
          <w:b/>
        </w:rPr>
        <w:t xml:space="preserve">Economic Viability:</w:t>
      </w:r>
      <w:r>
        <w:t xml:space="preserve"> Balancing aesthetic ambition with budgetary constraints to ensure projects are financially sustainable for developers and residents alike.</w:t>
      </w:r>
    </w:p>
    <w:p>
      <w:pPr>
        <w:pStyle w:val="FirstParagraph"/>
      </w:pPr>
      <w:r>
        <w:t xml:space="preserve"> </w:t>
      </w:r>
    </w:p>
    <w:p>
      <w:pPr>
        <w:pStyle w:val="BodyText"/>
      </w:pPr>
      <w:r>
        <w:t xml:space="preserve">By adopting these practices, architects contribute to social cohesion and urban resilience. In a city as diverse as Canada Toronto, design is a powerful tool for inclusion.</w:t>
      </w:r>
    </w:p>
    <w:p>
      <w:pPr>
        <w:pStyle w:val="BodyText"/>
      </w:pPr>
      <w:r>
        <w:t xml:space="preserve"> </w:t>
      </w:r>
    </w:p>
    <w:bookmarkEnd w:id="26"/>
    <w:bookmarkStart w:id="27" w:name="future-directions"/>
    <w:p>
      <w:pPr>
        <w:pStyle w:val="Heading2"/>
      </w:pPr>
      <w:r>
        <w:t xml:space="preserve">5. Future Directions</w:t>
      </w:r>
    </w:p>
    <w:p>
      <w:pPr>
        <w:pStyle w:val="FirstParagraph"/>
      </w:pPr>
      <w:r>
        <w:t xml:space="preserve"> </w:t>
      </w:r>
    </w:p>
    <w:p>
      <w:pPr>
        <w:pStyle w:val="BodyText"/>
      </w:pPr>
      <w:r>
        <w:t xml:space="preserve">The future of architecture in Canada Toronto will be defined by adaptability. Emerging technologies such as Building Information Modeling (BIM) and artificial intelligence offer new tools for optimizing design efficiency and reducing waste. Furthermore, the shift towards remote work may alter residential space requirements, prompting architects to rethink home office integration.</w:t>
      </w:r>
    </w:p>
    <w:p>
      <w:pPr>
        <w:pStyle w:val="BodyText"/>
      </w:pPr>
      <w:r>
        <w:t xml:space="preserve"> </w:t>
      </w:r>
    </w:p>
    <w:p>
      <w:pPr>
        <w:pStyle w:val="BodyText"/>
      </w:pPr>
      <w:r>
        <w:t xml:space="preserve">Additionally, climate change poses an existential threat to coastal cities. Architects must prioritize resilience in their designs, ensuring that buildings can withstand extreme weather events. In Canada Toronto this means elevating critical infrastructure and designing permeable landscapes that manage stormwater effectively.</w:t>
      </w:r>
    </w:p>
    <w:p>
      <w:pPr>
        <w:pStyle w:val="BodyText"/>
      </w:pPr>
      <w:r>
        <w:t xml:space="preserve"> </w:t>
      </w:r>
    </w:p>
    <w:bookmarkEnd w:id="27"/>
    <w:bookmarkStart w:id="28" w:name="conclusion"/>
    <w:p>
      <w:pPr>
        <w:pStyle w:val="Heading2"/>
      </w:pPr>
      <w:r>
        <w:t xml:space="preserve">6. Conclusion</w:t>
      </w:r>
    </w:p>
    <w:p>
      <w:pPr>
        <w:pStyle w:val="FirstParagraph"/>
      </w:pPr>
      <w:r>
        <w:t xml:space="preserve"> </w:t>
      </w:r>
    </w:p>
    <w:p>
      <w:pPr>
        <w:pStyle w:val="BodyText"/>
      </w:pPr>
      <w:r>
        <w:t xml:space="preserve">The role of the Architect in Canada Toronto is undergoing a profound transformation. No longer solely focused on form and function, architects are now expected to be environmental stewards, social advocates, and technical innovators. This poster presentation demonstrates that through rigorous research, community engagement, and sustainable practices architects can shape a more equitable and resilient future for this vibrant Canadian city.</w:t>
      </w:r>
    </w:p>
    <w:p>
      <w:pPr>
        <w:pStyle w:val="BodyText"/>
      </w:pPr>
      <w:r>
        <w:t xml:space="preserve"> </w:t>
      </w:r>
    </w:p>
    <w:p>
      <w:pPr>
        <w:pStyle w:val="BodyText"/>
      </w:pPr>
      <w:r>
        <w:t xml:space="preserve">As Canada Toronto continues to grow it is imperative that the architectural profession remains at the forefront of this evolution, ensuring that urban development serves both current residents and future generations.</w:t>
      </w:r>
    </w:p>
    <w:p>
      <w:pPr>
        <w:pStyle w:val="BodyText"/>
      </w:pPr>
      <w:r>
        <w:t xml:space="preserve"> </w:t>
      </w:r>
    </w:p>
    <w:bookmarkEnd w:id="28"/>
    <w:bookmarkStart w:id="29" w:name="references"/>
    <w:p>
      <w:pPr>
        <w:pStyle w:val="Heading2"/>
      </w:pPr>
      <w:r>
        <w:t xml:space="preserve">References</w:t>
      </w:r>
    </w:p>
    <w:p>
      <w:pPr>
        <w:pStyle w:val="FirstParagraph"/>
      </w:pPr>
      <w:r>
        <w:t xml:space="preserve"> </w:t>
      </w:r>
    </w:p>
    <w:p>
      <w:pPr>
        <w:numPr>
          <w:ilvl w:val="0"/>
          <w:numId w:val="1004"/>
        </w:numPr>
        <w:pStyle w:val="Compact"/>
      </w:pPr>
      <w:r>
        <w:t xml:space="preserve">Toronto City Planning. (2023). Official Plan Amendment 114.</w:t>
      </w:r>
    </w:p>
    <w:p>
      <w:pPr>
        <w:numPr>
          <w:ilvl w:val="0"/>
          <w:numId w:val="1004"/>
        </w:numPr>
        <w:pStyle w:val="Compact"/>
      </w:pPr>
      <w:r>
        <w:t xml:space="preserve">Mohseni, S., &amp; Aghaabbasi, M. (2021). Sustainability in High-Rise Buildings: A Review of Green Building Standards.</w:t>
      </w:r>
    </w:p>
    <w:p>
      <w:pPr>
        <w:numPr>
          <w:ilvl w:val="0"/>
          <w:numId w:val="1004"/>
        </w:numPr>
        <w:pStyle w:val="Compact"/>
      </w:pPr>
      <w:r>
        <w:t xml:space="preserve">Canadian Institute of Architects (CIA). (2022). Best Practices for Indigenous Engagement in Design.</w:t>
      </w:r>
    </w:p>
    <w:p>
      <w:pPr>
        <w:numPr>
          <w:ilvl w:val="0"/>
          <w:numId w:val="1004"/>
        </w:numPr>
        <w:pStyle w:val="Compact"/>
      </w:pPr>
      <w:r>
        <w:t xml:space="preserve">Gehl, J. (2010). Cities for People. Island Press.</w:t>
      </w:r>
    </w:p>
    <w:p>
      <w:pPr>
        <w:pStyle w:val="FirstParagraph"/>
      </w:pPr>
      <w:r>
        <w:t xml:space="preserve"> </w:t>
      </w:r>
    </w:p>
    <w:bookmarkEnd w:id="29"/>
    <w:p>
      <w:pPr>
        <w:pStyle w:val="BodyText"/>
      </w:pPr>
      <w:r>
        <w:rPr>
          <w:bCs/>
          <w:b/>
        </w:rPr>
        <w:t xml:space="preserve">Academic Poster Presentation | Institute of Urban Design</w:t>
      </w:r>
    </w:p>
    <w:p>
      <w:pPr>
        <w:pStyle w:val="BodyText"/>
      </w:pPr>
      <w:r>
        <w:t xml:space="preserve"> </w:t>
      </w:r>
    </w:p>
    <w:p>
      <w:pPr>
        <w:pStyle w:val="BodyText"/>
      </w:pPr>
      <w:r>
        <w:t xml:space="preserve">Presentation Date: October 2023 | Location: Toronto Convention Centre, Canada</w:t>
      </w:r>
    </w:p>
    <w:p>
      <w:pPr>
        <w:pStyle w:val="BodyText"/>
      </w:pPr>
      <w:r>
        <w:t xml:space="preserve"> </w:t>
      </w:r>
    </w:p>
    <w:p>
      <w:pPr>
        <w:pStyle w:val="BodyText"/>
      </w:pPr>
      <w:r>
        <w:t xml:space="preserve">[QR CODE PLACEHOLDER]</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Architect in Canada Toronto</dc:title>
  <dc:creator/>
  <dc:language>en</dc:language>
  <cp:keywords/>
  <dcterms:created xsi:type="dcterms:W3CDTF">2026-07-29T07:43:17Z</dcterms:created>
  <dcterms:modified xsi:type="dcterms:W3CDTF">2026-07-29T07:43:17Z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