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21" w:name="the-architect-in-dr-congo-kinshasa"/>
    <w:p>
      <w:pPr>
        <w:pStyle w:val="Heading1"/>
      </w:pPr>
      <w:r>
        <w:t xml:space="preserve">The Architect in DR Congo Kinshasa</w:t>
      </w:r>
    </w:p>
    <w:bookmarkStart w:id="20" w:name="X2554b89757433e93061e3376abdd52264f55a6b"/>
    <w:p>
      <w:pPr>
        <w:pStyle w:val="Heading2"/>
      </w:pPr>
      <w:r>
        <w:t xml:space="preserve">Bridging Tradition, Modernity, and Resilience in Africa's Megacity</w:t>
      </w:r>
    </w:p>
    <w:bookmarkEnd w:id="20"/>
    <w:bookmarkEnd w:id="21"/>
    <w:bookmarkStart w:id="22" w:name="abstract"/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The Architect in DR Congo Kinshasa</dc:title>
  <dc:creator/>
  <dc:language>en</dc:language>
  <cp:keywords/>
  <dcterms:created xsi:type="dcterms:W3CDTF">2026-09-25T22:30:08Z</dcterms:created>
  <dcterms:modified xsi:type="dcterms:W3CDTF">2026-09-25T22:30:08Z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