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21" w:name="the-architect-in-dr-congo-kinshasa"/>
    <w:p>
      <w:pPr>
        <w:pStyle w:val="Heading1"/>
      </w:pPr>
      <w:r>
        <w:t xml:space="preserve">The Architect in DR Congo Kinshasa</w:t>
      </w:r>
    </w:p>
    <w:bookmarkStart w:id="20" w:name="X2554b89757433e93061e3376abdd52264f55a6b"/>
    <w:p>
      <w:pPr>
        <w:pStyle w:val="Heading2"/>
      </w:pPr>
      <w:r>
        <w:t xml:space="preserve">Bridging Tradition, Modernity, and Resilience in Africa's Megacity</w:t>
      </w:r>
    </w:p>
    <w:bookmarkEnd w:id="20"/>
    <w:bookmarkEnd w:id="21"/>
    <w:bookmarkStart w:id="22" w:name="abstract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Architect in DR Congo Kinshasa</dc:title>
  <dc:creator/>
  <dc:language>en</dc:language>
  <cp:keywords/>
  <dcterms:created xsi:type="dcterms:W3CDTF">2026-07-29T05:31:37Z</dcterms:created>
  <dcterms:modified xsi:type="dcterms:W3CDTF">2026-07-29T05:31:37Z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