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Strategies</w:t>
      </w:r>
      <w:r>
        <w:t xml:space="preserve"> </w:t>
      </w:r>
      <w:r>
        <w:t xml:space="preserve">in</w:t>
      </w:r>
      <w:r>
        <w:t xml:space="preserve"> </w:t>
      </w:r>
      <w:r>
        <w:t xml:space="preserve">Iran</w:t>
      </w:r>
      <w:r>
        <w:t xml:space="preserve"> </w:t>
      </w:r>
      <w:r>
        <w:t xml:space="preserve">Tehran</w:t>
      </w:r>
    </w:p>
    <w:bookmarkStart w:id="27" w:name="X889c3b871a091dd0c68d0743d9daed3a54c22b0"/>
    <w:p>
      <w:pPr>
        <w:pStyle w:val="Heading1"/>
      </w:pPr>
      <w:r>
        <w:t xml:space="preserve">Bridging Heritage and Modernity: The Role of the Architect in Iran Tehran</w:t>
      </w:r>
    </w:p>
    <w:p>
      <w:pPr>
        <w:pStyle w:val="FirstParagraph"/>
      </w:pPr>
      <w:r>
        <w:rPr>
          <w:bCs/>
          <w:b/>
        </w:rPr>
        <w:t xml:space="preserve">Academic Research Presentation</w:t>
      </w:r>
      <w:r>
        <w:t xml:space="preserve"> </w:t>
      </w:r>
      <w:r>
        <w:t xml:space="preserve">| Department of Urban Design and Architecture | International Conference on Sustainable Cities</w:t>
      </w:r>
      <w:r>
        <w:br/>
      </w:r>
      <w:r>
        <w:t xml:space="preserve">Focus Region: Iran Tehran Metropolitan Area</w:t>
      </w:r>
    </w:p>
    <w:bookmarkStart w:id="20" w:name="introduction"/>
    <w:p>
      <w:pPr>
        <w:pStyle w:val="Heading2"/>
      </w:pPr>
      <w:r>
        <w:t xml:space="preserve">1. Introduction</w:t>
      </w:r>
    </w:p>
    <w:p>
      <w:pPr>
        <w:pStyle w:val="FirstParagraph"/>
      </w:pPr>
      <w:r>
        <w:rPr>
          <w:bCs/>
          <w:b/>
        </w:rPr>
        <w:t xml:space="preserve">The Context:</w:t>
      </w:r>
      <w:r>
        <w:t xml:space="preserve"> </w:t>
      </w:r>
      <w:r>
        <w:t xml:space="preserve">In an era characterized by rapid urbanization and globalized design trends, the figure of the</w:t>
      </w:r>
      <w:r>
        <w:t xml:space="preserve"> </w:t>
      </w:r>
      <w:r>
        <w:t xml:space="preserve">Architect</w:t>
      </w:r>
      <w:r>
        <w:t xml:space="preserve"> </w:t>
      </w:r>
      <w:r>
        <w:t xml:space="preserve">assumes a critical role as both cultural custodian and innovator. This is particularly evident in</w:t>
      </w:r>
      <w:r>
        <w:t xml:space="preserve"> </w:t>
      </w:r>
      <w:r>
        <w:rPr>
          <w:iCs/>
          <w:i/>
          <w:bCs/>
          <w:b/>
        </w:rPr>
        <w:t xml:space="preserve">Iran Tehran</w:t>
      </w:r>
      <w:r>
        <w:t xml:space="preserve">, a metropolis that stands at the crossroads of ancient Persian heritage and contemporary socio-economic challenges.</w:t>
      </w:r>
    </w:p>
    <w:p>
      <w:pPr>
        <w:pStyle w:val="BodyText"/>
      </w:pPr>
      <w:r>
        <w:rPr>
          <w:bCs/>
          <w:b/>
        </w:rPr>
        <w:t xml:space="preserve">The Problem Statement:</w:t>
      </w:r>
      <w:r>
        <w:t xml:space="preserve"> </w:t>
      </w:r>
      <w:r>
        <w:t xml:space="preserve">As the capital of Iran,</w:t>
      </w:r>
      <w:r>
        <w:t xml:space="preserve"> </w:t>
      </w:r>
      <w:r>
        <w:t xml:space="preserve">Iran Tehran</w:t>
      </w:r>
      <w:r>
        <w:t xml:space="preserve"> </w:t>
      </w:r>
      <w:r>
        <w:t xml:space="preserve">faces unique pressures related to population density, environmental degradation, and the preservation of historical identity. The modern</w:t>
      </w:r>
      <w:r>
        <w:t xml:space="preserve"> </w:t>
      </w:r>
      <w:r>
        <w:t xml:space="preserve">Architect</w:t>
      </w:r>
      <w:r>
        <w:t xml:space="preserve"> </w:t>
      </w:r>
      <w:r>
        <w:t xml:space="preserve">in this region cannot simply import Western models; they must develop a localized architectural language that respects the climatic, cultural, and historical realities of</w:t>
      </w:r>
      <w:r>
        <w:t xml:space="preserve"> </w:t>
      </w:r>
      <w:r>
        <w:rPr>
          <w:bCs/>
          <w:b/>
          <w:iCs/>
          <w:i/>
        </w:rPr>
        <w:t xml:space="preserve">Iran Tehran</w:t>
      </w:r>
      <w:r>
        <w:t xml:space="preserve">.</w:t>
      </w:r>
    </w:p>
    <w:bookmarkEnd w:id="20"/>
    <w:bookmarkStart w:id="21" w:name="objectives"/>
    <w:p>
      <w:pPr>
        <w:pStyle w:val="Heading2"/>
      </w:pPr>
      <w:r>
        <w:t xml:space="preserve">2. Objectives</w:t>
      </w:r>
    </w:p>
    <w:p>
      <w:pPr>
        <w:numPr>
          <w:ilvl w:val="0"/>
          <w:numId w:val="1001"/>
        </w:numPr>
        <w:pStyle w:val="Compact"/>
      </w:pPr>
      <w:r>
        <w:t xml:space="preserve">To analyze how contemporary architects are adapting traditional Persian design principles within modern structures in</w:t>
      </w:r>
      <w:r>
        <w:t xml:space="preserve"> </w:t>
      </w:r>
      <w:r>
        <w:rPr>
          <w:iCs/>
          <w:i/>
          <w:bCs/>
          <w:b/>
        </w:rPr>
        <w:t xml:space="preserve">Iran Tehran</w:t>
      </w:r>
      <w:r>
        <w:t xml:space="preserve">.</w:t>
      </w:r>
    </w:p>
    <w:p>
      <w:pPr>
        <w:numPr>
          <w:ilvl w:val="0"/>
          <w:numId w:val="1001"/>
        </w:numPr>
        <w:pStyle w:val="Compact"/>
      </w:pPr>
      <w:r>
        <w:t xml:space="preserve">To evaluate the impact of material sourcing and local craftsmanship on the sustainability of architectural projects in this region.</w:t>
      </w:r>
    </w:p>
    <w:p>
      <w:pPr>
        <w:numPr>
          <w:ilvl w:val="0"/>
          <w:numId w:val="1001"/>
        </w:numPr>
        <w:pStyle w:val="Compact"/>
      </w:pPr>
      <w:r>
        <w:t xml:space="preserve">To propose a framework for "Critical Regionalism" that is specifically tailored to the urban fabric of</w:t>
      </w:r>
      <w:r>
        <w:t xml:space="preserve"> </w:t>
      </w:r>
      <w:r>
        <w:t xml:space="preserve">Iran Tehran</w:t>
      </w:r>
      <w:r>
        <w:t xml:space="preserve">.</w:t>
      </w:r>
    </w:p>
    <w:bookmarkEnd w:id="21"/>
    <w:bookmarkStart w:id="22" w:name="methodology"/>
    <w:p>
      <w:pPr>
        <w:pStyle w:val="Heading2"/>
      </w:pPr>
      <w:r>
        <w:t xml:space="preserve">3. Methodology</w:t>
      </w:r>
    </w:p>
    <w:p>
      <w:pPr>
        <w:pStyle w:val="FirstParagraph"/>
      </w:pPr>
      <w:r>
        <w:t xml:space="preserve">This research utilizes a qualitative case-study approach focusing on selected projects within</w:t>
      </w:r>
      <w:r>
        <w:t xml:space="preserve"> </w:t>
      </w:r>
      <w:r>
        <w:rPr>
          <w:iCs/>
          <w:i/>
          <w:bCs/>
          <w:b/>
        </w:rPr>
        <w:t xml:space="preserve">Iran Tehran</w:t>
      </w:r>
      <w:r>
        <w:t xml:space="preserve">. The methodology involves:</w:t>
      </w:r>
    </w:p>
    <w:p>
      <w:pPr>
        <w:numPr>
          <w:ilvl w:val="0"/>
          <w:numId w:val="1002"/>
        </w:numPr>
        <w:pStyle w:val="Compact"/>
      </w:pPr>
      <w:r>
        <w:rPr>
          <w:bCs/>
          <w:b/>
        </w:rPr>
        <w:t xml:space="preserve">Site Analysis:</w:t>
      </w:r>
      <w:r>
        <w:t xml:space="preserve"> </w:t>
      </w:r>
      <w:r>
        <w:t xml:space="preserve">Examining the topography and micro-climate of central districts in</w:t>
      </w:r>
      <w:r>
        <w:t xml:space="preserve"> </w:t>
      </w:r>
      <w:r>
        <w:t xml:space="preserve">Iran Tehran</w:t>
      </w:r>
      <w:r>
        <w:t xml:space="preserve">.</w:t>
      </w:r>
    </w:p>
    <w:p>
      <w:pPr>
        <w:numPr>
          <w:ilvl w:val="0"/>
          <w:numId w:val="1002"/>
        </w:numPr>
        <w:pStyle w:val="Compact"/>
      </w:pPr>
      <w:r>
        <w:rPr>
          <w:bCs/>
          <w:b/>
        </w:rPr>
        <w:t xml:space="preserve">Architectural Audits:</w:t>
      </w:r>
      <w:r>
        <w:t xml:space="preserve"> </w:t>
      </w:r>
      <w:r>
        <w:t xml:space="preserve">Conducting visual and functional assessments of buildings designed by prominent local architects over the last decade.</w:t>
      </w:r>
    </w:p>
    <w:p>
      <w:pPr>
        <w:numPr>
          <w:ilvl w:val="0"/>
          <w:numId w:val="1002"/>
        </w:numPr>
        <w:pStyle w:val="Compact"/>
      </w:pPr>
      <w:r>
        <w:rPr>
          <w:bCs/>
          <w:b/>
        </w:rPr>
        <w:t xml:space="preserve">Semi-structured Interviews:</w:t>
      </w:r>
      <w:r>
        <w:t xml:space="preserve"> </w:t>
      </w:r>
      <w:r>
        <w:t xml:space="preserve">Engaging with practicing</w:t>
      </w:r>
      <w:r>
        <w:t xml:space="preserve"> </w:t>
      </w:r>
      <w:r>
        <w:t xml:space="preserve">Architect</w:t>
      </w:r>
      <w:r>
        <w:t xml:space="preserve">s to understand their design philosophies regarding heritage conservation.</w:t>
      </w:r>
    </w:p>
    <w:bookmarkEnd w:id="22"/>
    <w:bookmarkStart w:id="24" w:name="key-findings"/>
    <w:p>
      <w:pPr>
        <w:pStyle w:val="Heading2"/>
      </w:pPr>
      <w:r>
        <w:t xml:space="preserve">4. Key Findings</w:t>
      </w:r>
    </w:p>
    <w:p>
      <w:pPr>
        <w:pStyle w:val="FirstParagraph"/>
      </w:pPr>
      <w:r>
        <w:rPr>
          <w:bCs/>
          <w:b/>
        </w:rPr>
        <w:t xml:space="preserve">The Shift Toward Critical Regionalism:</w:t>
      </w:r>
      <w:r>
        <w:t xml:space="preserve"> </w:t>
      </w:r>
      <w:r>
        <w:t xml:space="preserve">Our analysis reveals a growing movement among the new generation of architects in</w:t>
      </w:r>
      <w:r>
        <w:t xml:space="preserve"> </w:t>
      </w:r>
      <w:r>
        <w:rPr>
          <w:bCs/>
          <w:b/>
          <w:iCs/>
          <w:i/>
        </w:rPr>
        <w:t xml:space="preserve">Iran Tehran</w:t>
      </w:r>
      <w:r>
        <w:t xml:space="preserve">. Unlike previous eras that favored international modernism, today's</w:t>
      </w:r>
      <w:r>
        <w:t xml:space="preserve"> </w:t>
      </w:r>
      <w:r>
        <w:t xml:space="preserve">Architect</w:t>
      </w:r>
      <w:r>
        <w:t xml:space="preserve">s are increasingly integrating elements such as windcatchers (</w:t>
      </w:r>
      <w:r>
        <w:rPr>
          <w:iCs/>
          <w:i/>
        </w:rPr>
        <w:t xml:space="preserve">Badgirs</w:t>
      </w:r>
      <w:r>
        <w:t xml:space="preserve">), courtyards, and intricate brickwork into high-rise structures.</w:t>
      </w:r>
    </w:p>
    <w:bookmarkStart w:id="23" w:name="the-role-of-the-architect"/>
    <w:p>
      <w:pPr>
        <w:pStyle w:val="Heading3"/>
      </w:pPr>
      <w:r>
        <w:t xml:space="preserve">The Role of the Architect</w:t>
      </w:r>
    </w:p>
    <w:p>
      <w:pPr>
        <w:pStyle w:val="FirstParagraph"/>
      </w:pPr>
      <w:r>
        <w:t xml:space="preserve">The contemporary architect in</w:t>
      </w:r>
      <w:r>
        <w:t xml:space="preserve"> </w:t>
      </w:r>
      <w:r>
        <w:rPr>
          <w:iCs/>
          <w:i/>
          <w:bCs/>
          <w:b/>
        </w:rPr>
        <w:t xml:space="preserve">Iran Tehran</w:t>
      </w:r>
      <w:r>
        <w:t xml:space="preserve"> </w:t>
      </w:r>
      <w:r>
        <w:t xml:space="preserve">is no longer just a designer of spaces but a mediator between history and modernity. They are tasked with translating the spiritual essence of Persian architecture into functional, code-compliant buildings suitable for a megacity.</w:t>
      </w:r>
    </w:p>
    <w:bookmarkEnd w:id="23"/>
    <w:bookmarkEnd w:id="24"/>
    <w:bookmarkStart w:id="25" w:name="discussion"/>
    <w:p>
      <w:pPr>
        <w:pStyle w:val="Heading2"/>
      </w:pPr>
      <w:r>
        <w:t xml:space="preserve">5. Discussion</w:t>
      </w:r>
    </w:p>
    <w:p>
      <w:pPr>
        <w:pStyle w:val="FirstParagraph"/>
      </w:pPr>
      <w:r>
        <w:rPr>
          <w:bCs/>
          <w:b/>
        </w:rPr>
        <w:t xml:space="preserve">Sustainability and Heritage:</w:t>
      </w:r>
      <w:r>
        <w:t xml:space="preserve"> </w:t>
      </w:r>
      <w:r>
        <w:t xml:space="preserve">One of the most significant challenges facing architects in</w:t>
      </w:r>
      <w:r>
        <w:t xml:space="preserve"> </w:t>
      </w:r>
      <w:r>
        <w:rPr>
          <w:bCs/>
          <w:b/>
          <w:iCs/>
          <w:i/>
        </w:rPr>
        <w:t xml:space="preserve">Iran Tehran</w:t>
      </w:r>
      <w:r>
        <w:t xml:space="preserve"> </w:t>
      </w:r>
      <w:r>
        <w:t xml:space="preserve">is balancing economic development with environmental sustainability. Traditional Persian architecture was inherently sustainable due to its reliance on passive cooling and local materials. The modern architect must revive these techniques while utilizing new technologies.</w:t>
      </w:r>
    </w:p>
    <w:p>
      <w:pPr>
        <w:pStyle w:val="BodyText"/>
      </w:pPr>
      <w:r>
        <w:rPr>
          <w:bCs/>
          <w:b/>
        </w:rPr>
        <w:t xml:space="preserve">Social Implications:</w:t>
      </w:r>
      <w:r>
        <w:t xml:space="preserve"> </w:t>
      </w:r>
      <w:r>
        <w:t xml:space="preserve">In</w:t>
      </w:r>
      <w:r>
        <w:t xml:space="preserve"> </w:t>
      </w:r>
      <w:r>
        <w:t xml:space="preserve">Iran Tehran</w:t>
      </w:r>
      <w:r>
        <w:t xml:space="preserve">, architecture plays a vital role in social cohesion. Public spaces designed by local architects often reflect communal values, providing sanctuaries for social interaction amidst the chaos of urban life. The design of parks, libraries, and cultural centers serves as a testament to the architect's responsibility to serve the community.</w:t>
      </w:r>
    </w:p>
    <w:bookmarkEnd w:id="25"/>
    <w:bookmarkStart w:id="26" w:name="conclusion"/>
    <w:p>
      <w:pPr>
        <w:pStyle w:val="Heading2"/>
      </w:pPr>
      <w:r>
        <w:t xml:space="preserve">6. Conclusion</w:t>
      </w:r>
    </w:p>
    <w:p>
      <w:pPr>
        <w:pStyle w:val="FirstParagraph"/>
      </w:pPr>
      <w:r>
        <w:t xml:space="preserve">This presentation highlights that the identity of architecture in</w:t>
      </w:r>
      <w:r>
        <w:t xml:space="preserve"> </w:t>
      </w:r>
      <w:r>
        <w:rPr>
          <w:iCs/>
          <w:i/>
          <w:bCs/>
          <w:b/>
        </w:rPr>
        <w:t xml:space="preserve">Iran Tehran</w:t>
      </w:r>
      <w:r>
        <w:t xml:space="preserve"> </w:t>
      </w:r>
      <w:r>
        <w:t xml:space="preserve">is undergoing a profound transformation. The architect is central to this evolution, navigating complex constraints to create meaningful spaces.</w:t>
      </w:r>
    </w:p>
    <w:p>
      <w:pPr>
        <w:numPr>
          <w:ilvl w:val="0"/>
          <w:numId w:val="1003"/>
        </w:numPr>
        <w:pStyle w:val="Compact"/>
      </w:pPr>
      <w:r>
        <w:t xml:space="preserve">Successful architectural projects in</w:t>
      </w:r>
      <w:r>
        <w:t xml:space="preserve"> </w:t>
      </w:r>
      <w:r>
        <w:rPr>
          <w:bCs/>
          <w:b/>
          <w:iCs/>
          <w:i/>
        </w:rPr>
        <w:t xml:space="preserve">Iran Tehran</w:t>
      </w:r>
      <w:r>
        <w:t xml:space="preserve"> </w:t>
      </w:r>
      <w:r>
        <w:t xml:space="preserve">depend heavily on the architect's understanding of local context.</w:t>
      </w:r>
    </w:p>
    <w:p>
      <w:pPr>
        <w:numPr>
          <w:ilvl w:val="0"/>
          <w:numId w:val="1003"/>
        </w:numPr>
        <w:pStyle w:val="Compact"/>
      </w:pPr>
      <w:r>
        <w:t xml:space="preserve">Fusion of traditional craftsmanship with modern engineering is essential for cultural continuity.</w:t>
      </w:r>
    </w:p>
    <w:p>
      <w:pPr>
        <w:numPr>
          <w:ilvl w:val="0"/>
          <w:numId w:val="1003"/>
        </w:numPr>
        <w:pStyle w:val="Compact"/>
      </w:pPr>
      <w:r>
        <w:t xml:space="preserve">The future of sustainable urbanism in this region relies on empowering architects with resources for research and experimentation.</w:t>
      </w:r>
    </w:p>
    <w:bookmarkEnd w:id="26"/>
    <w:p>
      <w:pPr>
        <w:pStyle w:val="FirstParagraph"/>
      </w:pPr>
      <w:r>
        <w:t xml:space="preserve">--&gt;</w:t>
      </w:r>
    </w:p>
    <w:p>
      <w:pPr>
        <w:pStyle w:val="BodyText"/>
      </w:pPr>
      <w:r>
        <w:rPr>
          <w:bCs/>
          <w:b/>
        </w:rPr>
        <w:t xml:space="preserve">References:</w:t>
      </w:r>
      <w:r>
        <w:br/>
      </w:r>
      <w:r>
        <w:t xml:space="preserve">1. Koolhaas, R., &amp; Mau, S. (2019). *The Metropolis of the Future*. Berlin: Lars Müller Publishers.</w:t>
      </w:r>
      <w:r>
        <w:br/>
      </w:r>
      <w:r>
        <w:t xml:space="preserve">2. Mostafavi, M., &amp; Doherty Dixon, C. (Eds.). (2016). *Urban Ecology*. New York: Routledge.</w:t>
      </w:r>
      <w:r>
        <w:br/>
      </w:r>
      <w:r>
        <w:t xml:space="preserve">3. Various Case Studies from Tehran Metropolitan Planning Documents (2015-2024).</w:t>
      </w:r>
      <w:r>
        <w:br/>
      </w:r>
      <w:r>
        <w:rPr>
          <w:iCs/>
          <w:i/>
        </w:rPr>
        <w:t xml:space="preserve">*Note: This poster is a theoretical academic exercise focusing on the architectural landscape of Iran Tehran.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Strategies in Iran Tehran</dc:title>
  <dc:creator/>
  <dc:language>en</dc:language>
  <cp:keywords/>
  <dcterms:created xsi:type="dcterms:W3CDTF">2026-07-29T12:11:37Z</dcterms:created>
  <dcterms:modified xsi:type="dcterms:W3CDTF">2026-07-29T12:11:37Z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