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0" w:name="Xe75031d0fa7798c71c0734a06809dc34f215a28"/>
    <w:p>
      <w:pPr>
        <w:pStyle w:val="Heading1"/>
      </w:pPr>
      <w:r>
        <w:t xml:space="preserve">Redefining the Role of the Architect: Sustainable and Resilient Urbanism in New Zealand Wellington</w:t>
      </w:r>
    </w:p>
    <w:p>
      <w:pPr>
        <w:pStyle w:val="FirstParagraph"/>
      </w:pPr>
      <w:r>
        <w:t xml:space="preserve">Bridging Seismic Innovation, Indigenous Partnership (Te Tiriti o Waitangi), and Climate Adaptation Strategies</w:t>
      </w:r>
    </w:p>
    <w:bookmarkEnd w:id="20"/>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t xml:space="preserve">Presented by: Department of Architectural Studies | Academic Research Symposium 2024</w:t>
      </w:r>
      <w:r>
        <w:br/>
      </w:r>
      <w:r>
        <w:t xml:space="preserve">Focusing on the unique topographical and cultural landscape of New Zealand Wellington.!important is used to ensure grid is applied in some strict email clients if rendered, but here it ensures CSS structure --&gt;</w:t>
      </w:r>
    </w:p>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1" w:name="abstract"/>
    <w:p>
      <w:pPr>
        <w:pStyle w:val="Heading2"/>
      </w:pPr>
      <w:r>
        <w:t xml:space="preserve">Abstract</w:t>
      </w:r>
    </w:p>
    <w:p>
      <w:pPr>
        <w:pStyle w:val="FirstParagraph"/>
      </w:pPr>
      <w:r>
        <w:t xml:space="preserve">!important is used to ensure grid is applied in some strict email clients if rendered, but here it ensures CSS structure --&gt;!important is used to ensure grid is applied in some strict email clients if rendered, but here it ensures CSS structure --&gt;</w:t>
      </w:r>
      <w:r>
        <w:t xml:space="preserve"> </w:t>
      </w:r>
      <w:r>
        <w:t xml:space="preserve">The role of the</w:t>
      </w:r>
      <w:r>
        <w:t xml:space="preserve"> </w:t>
      </w:r>
      <w:r>
        <w:rPr>
          <w:bCs/>
          <w:b/>
        </w:rPr>
        <w:t xml:space="preserve">Architect</w:t>
      </w:r>
      <w:r>
        <w:t xml:space="preserve"> </w:t>
      </w:r>
      <w:r>
        <w:t xml:space="preserve">has fundamentally evolved from a sole designer of form and aesthetics to a critical integrator of ecological resilience, seismic safety, and cultural diplomacy. This presentation examines these expanded responsibilities through the specific lens of</w:t>
      </w:r>
      <w:r>
        <w:t xml:space="preserve"> </w:t>
      </w:r>
      <w:r>
        <w:rPr>
          <w:bCs/>
          <w:b/>
        </w:rPr>
        <w:t xml:space="preserve">New Zealand Wellington</w:t>
      </w:r>
      <w:r>
        <w:t xml:space="preserve">, widely regarded as New Zealand’s capital city. Situated on the active boundaries of tectonic plates along the Wellington Fault Line,</w:t>
      </w:r>
      <w:r>
        <w:t xml:space="preserve"> </w:t>
      </w:r>
      <w:r>
        <w:rPr>
          <w:bCs/>
          <w:b/>
        </w:rPr>
        <w:t xml:space="preserve">New Zealand Wellington</w:t>
      </w:r>
      <w:r>
        <w:t xml:space="preserve"> </w:t>
      </w:r>
      <w:r>
        <w:t xml:space="preserve">presents one of the most complex urban environments globally for structural engineering and architectural planning. This paper argues that modern practice in</w:t>
      </w:r>
      <w:r>
        <w:t xml:space="preserve"> </w:t>
      </w:r>
      <w:r>
        <w:rPr>
          <w:bCs/>
          <w:b/>
        </w:rPr>
        <w:t xml:space="preserve">New Zealand Wellington</w:t>
      </w:r>
      <w:r>
        <w:t xml:space="preserve"> </w:t>
      </w:r>
      <w:r>
        <w:t xml:space="preserve">requires an architect to be not only a technical master but also a mediator between indigenous Māori values (Te Ao Māori) and contemporary Western building codes. By analyzing recent case studies involving adaptive reuse of heritage buildings in Te Aro and the development of seismic-resilient infrastructure in the CBD, this study demonstrates how architects are uniquely positioned to lead climate adaptation efforts while preserving cultural heritage sites essential to</w:t>
      </w:r>
      <w:r>
        <w:t xml:space="preserve"> </w:t>
      </w:r>
      <w:r>
        <w:rPr>
          <w:bCs/>
          <w:b/>
        </w:rPr>
        <w:t xml:space="preserve">New Zealand Wellington</w:t>
      </w:r>
      <w:r>
        <w:t xml:space="preserve">'s identity.</w:t>
      </w:r>
    </w:p>
    <w:bookmarkEnd w:id="21"/>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2" w:name="context-the-wellington-challenge"/>
    <w:p>
      <w:pPr>
        <w:pStyle w:val="Heading2"/>
      </w:pPr>
      <w:r>
        <w:t xml:space="preserve">Context: The Wellington Challenge</w:t>
      </w:r>
    </w:p>
    <w:p>
      <w:pPr>
        <w:pStyle w:val="FirstParagraph"/>
      </w:pPr>
      <w:r>
        <w:rPr>
          <w:bCs/>
          <w:b/>
        </w:rPr>
        <w:t xml:space="preserve">New Zealand Wellington</w:t>
      </w:r>
    </w:p>
    <w:p>
      <w:pPr>
        <w:pStyle w:val="BodyText"/>
      </w:pPr>
      <w:r>
        <w:t xml:space="preserve">s unique geographical position creates specific imperatives for the profession of an Architect. The city is characterized by steep hillsides, exposed coastal winds, and high seismic risk. Consequently, the traditional "glass box" model of architecture popularized in other global financial hubs is often unsuitable or dangerously inadequate if not meticulously adapted to local conditions. The architectural discourse in</w:t>
      </w:r>
      <w:r>
        <w:t xml:space="preserve"> </w:t>
      </w:r>
      <w:r>
        <w:rPr>
          <w:bCs/>
          <w:b/>
        </w:rPr>
        <w:t xml:space="preserve">New Zealand Wellington</w:t>
      </w:r>
      <w:r>
        <w:t xml:space="preserve"> </w:t>
      </w:r>
      <w:r>
        <w:t xml:space="preserve">must therefore prioritize durability against extreme weather events—such as storm surges exacerbated by sea-level rise—and robustness against liquefaction. Furthermore, the dense urban fabric of the central business district limits horizontal expansion, forcing architects to innovate vertically and underground. These constraints do not hinder creativity; rather, they catalyze a highly specialized form of architectural practice where site sensitivity is paramount.</w:t>
      </w:r>
    </w:p>
    <w:p>
      <w:pPr>
        <w:pStyle w:val="BodyText"/>
      </w:pPr>
      <w:r>
        <w:t xml:space="preserve">Moreover,</w:t>
      </w:r>
      <w:r>
        <w:t xml:space="preserve"> </w:t>
      </w:r>
      <w:r>
        <w:rPr>
          <w:bCs/>
          <w:b/>
        </w:rPr>
        <w:t xml:space="preserve">New Zealand Wellington</w:t>
      </w:r>
      <w:r>
        <w:t xml:space="preserve"> </w:t>
      </w:r>
      <w:r>
        <w:t xml:space="preserve">serves as a focal point for national policy regarding green building standards. As the heart of government and innovation in New Zealand, the city sets precedents for sustainable construction that ripple outward to other regions. Architects operating here must navigate complex regulatory frameworks imposed by both local territorial authorities and central government bodies like Kāinga Ora (Homes and Communities). This requires a deep understanding of policy development alongside traditional design skills.</w:t>
      </w:r>
    </w:p>
    <w:bookmarkEnd w:id="22"/>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3" w:name="methodological-framework"/>
    <w:p>
      <w:pPr>
        <w:pStyle w:val="Heading2"/>
      </w:pPr>
      <w:r>
        <w:t xml:space="preserve">Methodological Framework</w:t>
      </w:r>
    </w:p>
    <w:p>
      <w:pPr>
        <w:pStyle w:val="FirstParagraph"/>
      </w:pPr>
      <w:r>
        <w:t xml:space="preserve">To understand the multifaceted role of the architect within this unique context, our research employs a mixed-methods approach combining qualitative case study analysis with quantitative building performance metrics. We selected three prominent projects located within</w:t>
      </w:r>
      <w:r>
        <w:t xml:space="preserve"> </w:t>
      </w:r>
      <w:r>
        <w:rPr>
          <w:bCs/>
          <w:b/>
        </w:rPr>
        <w:t xml:space="preserve">New Zealand Wellington</w:t>
      </w:r>
      <w:r>
        <w:t xml:space="preserve">: two new-build sustainable residential complexes and one seismic retrofitting project involving heritage masonry structures.</w:t>
      </w:r>
    </w:p>
    <w:p>
      <w:pPr>
        <w:pStyle w:val="BodyText"/>
      </w:pPr>
      <w:r>
        <w:t xml:space="preserve">Data collection involved interviews with lead architects, structural engineers, and Māori consultants (Kaumātua) to explore the collaborative processes inherent in contemporary practice. Additionally, post-occupancy evaluations were conducted to measure energy efficiency outcomes relative to theoretical models. This methodology allows us to isolate specific variables attributed directly to the architect's decision-making processes regarding material selection, spatial configuration for passive heating and cooling, and integration of cultural narratives into built form.</w:t>
      </w:r>
    </w:p>
    <w:bookmarkEnd w:id="23"/>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4" w:name="key-findings"/>
    <w:p>
      <w:pPr>
        <w:pStyle w:val="Heading2"/>
      </w:pPr>
      <w:r>
        <w:t xml:space="preserve">Key Findings</w:t>
      </w:r>
    </w:p>
    <w:p>
      <w:pPr>
        <w:pStyle w:val="FirstParagraph"/>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rPr>
          <w:bCs/>
          <w:b/>
        </w:rPr>
        <w:t xml:space="preserve">1. Seismic Performance Dictating Aesthetic Innovation</w:t>
      </w:r>
      <w:r>
        <w:br/>
      </w:r>
      <w:r>
        <w:t xml:space="preserve">In</w:t>
      </w:r>
      <w:r>
        <w:t xml:space="preserve"> </w:t>
      </w:r>
      <w:r>
        <w:rPr>
          <w:bCs/>
          <w:b/>
        </w:rPr>
        <w:t xml:space="preserve">New Zealand Wellington</w:t>
      </w:r>
      <w:r>
        <w:t xml:space="preserve">, seismic resilience is not merely a technical checkbox but a primary driver of architectural form. Our analysis reveals that leading architects utilize base isolation technologies and dampers as central aesthetic features rather than hiding them within structural cores. This transparency fosters public trust in building safety while showcasing engineering prowess. The architect's role has thus shifted toward integrating complex mechanical systems into the visual language of the building, requiring a holistic approach to design where structure and envelope are inseparable.</w:t>
      </w:r>
    </w:p>
    <w:p>
      <w:pPr>
        <w:pStyle w:val="BodyText"/>
      </w:pPr>
      <w:r>
        <w:br/>
      </w: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rPr>
          <w:bCs/>
          <w:b/>
        </w:rPr>
        <w:t xml:space="preserve">2. Embedding Te Tiriti o Waitangi Principles</w:t>
      </w:r>
      <w:r>
        <w:br/>
      </w:r>
      <w:r>
        <w:t xml:space="preserve">A critical finding is the mandatory and ethical necessity for architects to engage meaningfully with iwi (tribes) when designing in or around significant sites in</w:t>
      </w:r>
      <w:r>
        <w:t xml:space="preserve"> </w:t>
      </w:r>
      <w:r>
        <w:rPr>
          <w:bCs/>
          <w:b/>
        </w:rPr>
        <w:t xml:space="preserve">New Zealand Wellington</w:t>
      </w:r>
      <w:r>
        <w:t xml:space="preserve">. This goes beyond legal compliance; it involves co-designing spaces that honor ancestral connections to land and water. Architects must act as cultural interpreters, translating intangible Māori concepts such as *whakapapa* (genealogy) and *manaakitanga* (hospitality/care) into tangible spatial qualities. For instance, the orientation of entrances in</w:t>
      </w:r>
      <w:r>
        <w:t xml:space="preserve"> </w:t>
      </w:r>
      <w:r>
        <w:rPr>
          <w:bCs/>
          <w:b/>
        </w:rPr>
        <w:t xml:space="preserve">New Zealand Wellington</w:t>
      </w:r>
      <w:r>
        <w:t xml:space="preserve"> </w:t>
      </w:r>
      <w:r>
        <w:t xml:space="preserve">projects increasingly considers traditional pathways and views toward marae or significant landscapes, ensuring that urban development does not erase indigenous memory.</w:t>
      </w:r>
    </w:p>
    <w:p>
      <w:pPr>
        <w:pStyle w:val="BodyText"/>
      </w:pPr>
      <w:r>
        <w:br/>
      </w:r>
      <w:r>
        <w:t xml:space="preserve">!important is used to ensure grid is applied in some strict email clients if rendered, but here it ensures CSS structure --&gt;!important is used to ensure grid is applied in some strict email clients if rendered, but here it ensures CSS structure --&gt;</w:t>
      </w:r>
    </w:p>
    <w:p>
      <w:pPr>
        <w:pStyle w:val="BodyText"/>
      </w:pPr>
      <w:r>
        <w:rPr>
          <w:bCs/>
          <w:b/>
        </w:rPr>
        <w:t xml:space="preserve">3. Climate Responsiveness and Materiality</w:t>
      </w:r>
      <w:r>
        <w:br/>
      </w:r>
      <w:r>
        <w:t xml:space="preserve">The wind-swept environment of the Wellington region demands high-performance envelopes. Our findings indicate that architects are leading the charge in specifying locally sourced, durable materials that withstand salt spray and UV exposure without excessive maintenance. Furthermore, passive design strategies—such as maximizing north-facing glazing for winter solar gain while utilizing deep overhangs for summer shading—are becoming standard practice in</w:t>
      </w:r>
      <w:r>
        <w:t xml:space="preserve"> </w:t>
      </w:r>
      <w:r>
        <w:rPr>
          <w:bCs/>
          <w:b/>
        </w:rPr>
        <w:t xml:space="preserve">New Zealand Wellington</w:t>
      </w:r>
      <w:r>
        <w:t xml:space="preserve">. This reduces reliance on active HVAC systems, directly contributing to national carbon reduction targets.</w:t>
      </w:r>
    </w:p>
    <w:bookmarkEnd w:id="24"/>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5" w:name="X67ffc42870c8237cb5451632f390fb3de816433"/>
    <w:p>
      <w:pPr>
        <w:pStyle w:val="Heading2"/>
      </w:pPr>
      <w:r>
        <w:t xml:space="preserve">Discussion: The Architect as Community Steward</w:t>
      </w:r>
    </w:p>
    <w:p>
      <w:pPr>
        <w:pStyle w:val="FirstParagraph"/>
      </w:pPr>
      <w:r>
        <w:t xml:space="preserve">The evidence presented suggests that the identity of the architect in</w:t>
      </w:r>
      <w:r>
        <w:t xml:space="preserve"> </w:t>
      </w:r>
      <w:r>
        <w:rPr>
          <w:bCs/>
          <w:b/>
        </w:rPr>
        <w:t xml:space="preserve">New Zealand Wellington</w:t>
      </w:r>
      <w:r>
        <w:t xml:space="preserve"> </w:t>
      </w:r>
      <w:r>
        <w:t xml:space="preserve">cannot be separated from their role as a community steward and environmental advocate. Unlike regions with more stable geologies or milder climates, practitioners here must anticipate catastrophic events and design for long-term adaptability. This necessitates continuous education beyond standard curricula, encompassing geology, sociology, and indigenous history.</w:t>
      </w:r>
    </w:p>
    <w:p>
      <w:pPr>
        <w:pStyle w:val="BodyText"/>
      </w:pPr>
      <w:r>
        <w:t xml:space="preserve">Furthermore, the tension between rapid urban densification and heritage preservation poses ongoing challenges for architects in</w:t>
      </w:r>
      <w:r>
        <w:t xml:space="preserve"> </w:t>
      </w:r>
      <w:r>
        <w:rPr>
          <w:bCs/>
          <w:b/>
        </w:rPr>
        <w:t xml:space="preserve">New Zealand Wellington</w:t>
      </w:r>
      <w:r>
        <w:t xml:space="preserve">. The city’s historic wooden villas and Victorian-era commercial buildings provide character but often lack thermal efficiency. Architects are finding innovative solutions through retrofitting—using external insulation systems or adding compact secondary dwellings—that increase density while maintaining streetscape continuity. This delicate balancing act highlights the nuanced judgment required of the modern architect.</w:t>
      </w:r>
    </w:p>
    <w:p>
      <w:pPr>
        <w:pStyle w:val="BodyText"/>
      </w:pPr>
      <w:r>
        <w:t xml:space="preserve">Additionally, there is a growing demand for architects to facilitate community workshops during the design phase in</w:t>
      </w:r>
      <w:r>
        <w:t xml:space="preserve"> </w:t>
      </w:r>
      <w:r>
        <w:rPr>
          <w:bCs/>
          <w:b/>
        </w:rPr>
        <w:t xml:space="preserve">New Zealand Wellington</w:t>
      </w:r>
      <w:r>
        <w:t xml:space="preserve">. Engaging residents early ensures that developments reflect local needs and foster social cohesion. This participatory approach mitigates NIMBY (Not In My Backyard) opposition and results in more sustainable, accepted outcomes. Thus, the architect becomes a facilitator of dialogue as much as a creator of form.</w:t>
      </w:r>
    </w:p>
    <w:bookmarkEnd w:id="25"/>
    <w:p>
      <w:pPr>
        <w:pStyle w:val="BodyText"/>
      </w:pPr>
      <w:r>
        <w:t xml:space="preserve">!important is used to ensure grid is applied in some strict email clients if rendered, but here it ensures CSS structure --&gt;!important is used to ensure grid is applied in some strict email clients if rendered, but here it ensures CSS structure --&gt;</w:t>
      </w:r>
    </w:p>
    <w:bookmarkStart w:id="26" w:name="conclusion"/>
    <w:p>
      <w:pPr>
        <w:pStyle w:val="Heading2"/>
      </w:pPr>
      <w:r>
        <w:t xml:space="preserve">Conclusion</w:t>
      </w:r>
    </w:p>
    <w:p>
      <w:pPr>
        <w:pStyle w:val="FirstParagraph"/>
      </w:pPr>
      <w:r>
        <w:t xml:space="preserve">In conclusion, the practice of architecture in</w:t>
      </w:r>
      <w:r>
        <w:t xml:space="preserve"> </w:t>
      </w:r>
      <w:r>
        <w:rPr>
          <w:bCs/>
          <w:b/>
        </w:rPr>
        <w:t xml:space="preserve">New Zealand Wellington</w:t>
      </w:r>
      <w:r>
        <w:t xml:space="preserve"> </w:t>
      </w:r>
      <w:r>
        <w:t xml:space="preserve">represents a pinnacle of specialized environmental and cultural responsiveness. The architect is no longer just a designer of buildings but an integrator of seismic safety mechanisms, ecological sustainability practices, and indigenous cultural narratives. As climate change accelerates and urban populations grow, these expanded responsibilities will only intensify.</w:t>
      </w:r>
    </w:p>
    <w:p>
      <w:pPr>
        <w:pStyle w:val="BodyText"/>
      </w:pPr>
      <w:r>
        <w:t xml:space="preserve">The insights gained from studying architects in</w:t>
      </w:r>
      <w:r>
        <w:t xml:space="preserve"> </w:t>
      </w:r>
      <w:r>
        <w:rPr>
          <w:bCs/>
          <w:b/>
        </w:rPr>
        <w:t xml:space="preserve">New Zealand Wellington</w:t>
      </w:r>
      <w:r>
        <w:t xml:space="preserve"> </w:t>
      </w:r>
      <w:r>
        <w:t xml:space="preserve">offer valuable lessons for other seismic-prone coastal cities globally. By prioritizing resilience, respecting local cultures (including Te Ao Māori), and embracing passive design strategies, the architectural profession can contribute significantly to the livability and longevity of our urban environments. Future research should expand to compare these findings with similar initiatives in Christchurch or Queenstown, further solidifying New Zealand's leadership in sustainable and resilient architectural practice.</w:t>
      </w:r>
    </w:p>
    <w:bookmarkEnd w:id="26"/>
    <w:p>
      <w:pPr>
        <w:pStyle w:val="BodyText"/>
      </w:pPr>
      <w:r>
        <w:t xml:space="preserve">!important is used to ensure grid is applied in some strict email clients if rendered, but here it ensures CSS structure --&gt;!important is used to ensure grid is applied in some strict email clients if rendered, but here 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New Zealand Wellington</dc:title>
  <dc:creator/>
  <dc:language>en</dc:language>
  <cp:keywords/>
  <dcterms:created xsi:type="dcterms:W3CDTF">2026-07-29T17:02:04Z</dcterms:created>
  <dcterms:modified xsi:type="dcterms:W3CDTF">2026-07-29T17:02:04Z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