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Architectural</w:t>
      </w:r>
      <w:r>
        <w:t xml:space="preserve"> </w:t>
      </w:r>
      <w:r>
        <w:t xml:space="preserve">Futures</w:t>
      </w:r>
      <w:r>
        <w:t xml:space="preserve"> </w:t>
      </w:r>
      <w:r>
        <w:t xml:space="preserve">in</w:t>
      </w:r>
      <w:r>
        <w:t xml:space="preserve"> </w:t>
      </w:r>
      <w:r>
        <w:t xml:space="preserve">Manchester</w:t>
      </w:r>
    </w:p>
    <w:bookmarkStart w:id="21" w:name="X19c82730b6000f610061603d845b2f45bc0ba54"/>
    <w:p>
      <w:pPr>
        <w:pStyle w:val="Heading1"/>
      </w:pPr>
      <w:r>
        <w:t xml:space="preserve">Bridging Heritage and Innovation: The Role of the Architect in Manchester’s Urban Regeneration</w:t>
      </w:r>
    </w:p>
    <w:bookmarkStart w:id="20" w:name="Xe4adc551b9f8626aaf3e5a5911fa2ba7e8a5915"/>
    <w:p>
      <w:pPr>
        <w:pStyle w:val="Heading2"/>
      </w:pPr>
      <w:r>
        <w:t xml:space="preserve">A Critical Analysis of Adaptive Reuse and Sustainable Design Strategies</w:t>
      </w:r>
    </w:p>
    <w:bookmarkEnd w:id="20"/>
    <w:bookmarkEnd w:id="21"/>
    <w:p>
      <w:pPr>
        <w:pStyle w:val="FirstParagraph"/>
      </w:pPr>
      <w:r>
        <w:t xml:space="preserve">John A. Smith, PhD Candidate  |  Department of Architecture, University of Manchester  |  j.smith@manchester.ac.uk</w:t>
      </w:r>
    </w:p>
    <w:bookmarkStart w:id="22" w:name="introduction-and-context"/>
    <w:p>
      <w:pPr>
        <w:pStyle w:val="Heading3"/>
      </w:pPr>
      <w:r>
        <w:t xml:space="preserve">Introduction and Context</w:t>
      </w:r>
    </w:p>
    <w:p>
      <w:pPr>
        <w:pStyle w:val="FirstParagraph"/>
      </w:pPr>
      <w:r>
        <w:t xml:space="preserve">Manchester, situated in the North West of the United Kingdom, stands as a preeminent case study for contemporary urban regeneration. As a former industrial powerhouse transitioning into a hub for digital creativity and higher education, the city presents unique challenges and opportunities for professionals in the built environment. The focus of this research is to critically examine how an Architect can navigate the complex dichotomy between preserving Manchester’s rich industrial heritage and meeting modern demands for sustainable, high-density living. This study posits that the role of an architect is not merely that of a designer, but fundamentally serves as a cultural custodian and environmental strategist within the specific socio-geographical context of Manchester.</w:t>
      </w:r>
      <w:r>
        <w:t xml:space="preserve"> </w:t>
      </w:r>
      <w:r>
        <w:t xml:space="preserve">The architectural landscape of this city in the United Kingdom is characterized by its Victorian mill buildings, red-brick warehouses, and sprawling canal networks. These structures are not simply obsolete relics; they represent a tangible history that defines the city's identity. However, maintaining these structures while adapting them for contemporary use requires a nuanced approach that goes beyond simple renovation. It demands an architectural philosophy that respects the original intent of the space while rigorously applying modern technical standards to ensure longevity and efficiency.</w:t>
      </w:r>
    </w:p>
    <w:p>
      <w:pPr>
        <w:pStyle w:val="BodyText"/>
      </w:pPr>
      <w:r>
        <w:t xml:space="preserve">[Fig. 1: Map of Manchester City Centre highlighting key regeneration zones and heritage sites]</w:t>
      </w:r>
    </w:p>
    <w:bookmarkEnd w:id="22"/>
    <w:bookmarkStart w:id="23" w:name="methodology"/>
    <w:p>
      <w:pPr>
        <w:pStyle w:val="Heading3"/>
      </w:pPr>
      <w:r>
        <w:t xml:space="preserve">Methodology</w:t>
      </w:r>
    </w:p>
    <w:p>
      <w:pPr>
        <w:pStyle w:val="FirstParagraph"/>
      </w:pPr>
      <w:r>
        <w:t xml:space="preserve">This research employs a mixed-methods approach, combining qualitative analysis of architectural case studies with quantitative environmental performance data. The primary method involves the selection of three prominent projects within Manchester: the transformation of the former Granada Studios into a media complex, the adaptive reuse of textile mills in Castlefield, and the recent developments around Piccadilly Gardens. For each project, an Architect’s design process is deconstructed to understand decision-making frameworks regarding material selection, spatial planning, and energy integration.</w:t>
      </w:r>
      <w:r>
        <w:t xml:space="preserve"> </w:t>
      </w:r>
      <w:r>
        <w:t xml:space="preserve">Furthermore, site visits were conducted to assess the physical condition of heritage structures before intervention. Interviews with practicing architects who have specialized in Manchester-based projects provided insight into the practical constraints faced when dealing with listed building consents and community expectations. Data regarding energy consumption post-renovation was collected through utility records to objectively measure the success of sustainable interventions proposed by these architects.</w:t>
      </w:r>
    </w:p>
    <w:bookmarkEnd w:id="23"/>
    <w:bookmarkStart w:id="24" w:name="the-architect-as-custodian-of-heritage"/>
    <w:p>
      <w:pPr>
        <w:pStyle w:val="Heading3"/>
      </w:pPr>
      <w:r>
        <w:t xml:space="preserve">The Architect as Custodian of Heritage</w:t>
      </w:r>
    </w:p>
    <w:p>
      <w:pPr>
        <w:pStyle w:val="FirstParagraph"/>
      </w:pPr>
      <w:r>
        <w:t xml:space="preserve">In the context of Manchester, the architect faces the specific challenge of balancing aesthetic preservation with functional modernization. This section analyzes how architects have utilized "adaptive reuse" strategies to give new life to old structures. A key finding is that successful interventions often involve a dialogue between old and new materials; for instance, inserting lightweight steel and glass volumes into heavy masonry shells. This juxtaposition highlights the temporal depth of the building, allowing both eras to be read clearly by the observer.</w:t>
      </w:r>
      <w:r>
        <w:t xml:space="preserve"> </w:t>
      </w:r>
      <w:r>
        <w:t xml:space="preserve">The role of the architect extends beyond aesthetics to include social sustainability. By retaining significant industrial buildings, architects contribute to a sense of place and community continuity in an area undergoing rapid gentrification. This is particularly relevant in Manchester’s United Kingdom context, where questions about social displacement are prevalent. The architectural strategy must therefore be inclusive, creating spaces that serve both new residents and the existing community fabric of the city.</w:t>
      </w:r>
    </w:p>
    <w:p>
      <w:pPr>
        <w:pStyle w:val="BodyText"/>
      </w:pPr>
      <w:r>
        <w:t xml:space="preserve">[Fig. 2: Comparative Analysis of Facade Treatments in Selected Manchester Buildings]</w:t>
      </w:r>
    </w:p>
    <w:bookmarkEnd w:id="24"/>
    <w:bookmarkStart w:id="25" w:name="sustainable-design-strategies"/>
    <w:p>
      <w:pPr>
        <w:pStyle w:val="Heading3"/>
      </w:pPr>
      <w:r>
        <w:t xml:space="preserve">Sustainable Design Strategies</w:t>
      </w:r>
    </w:p>
    <w:p>
      <w:pPr>
        <w:pStyle w:val="FirstParagraph"/>
      </w:pPr>
      <w:r>
        <w:t xml:space="preserve">Sustainability is no longer optional but a fundamental requirement for contemporary architectural practice, particularly in the densely populated urban core of Manchester. This study evaluates how architects are integrating passive design principles into heritage structures. These strategies include improved natural ventilation techniques that respect original fenestration patterns, and the integration of renewable energy sources such as solar thermal panels on non-visible roof slopes to preserve historic skylines.</w:t>
      </w:r>
      <w:r>
        <w:t xml:space="preserve"> </w:t>
      </w:r>
      <w:r>
        <w:t xml:space="preserve">The analysis reveals a significant shift in how an architect approaches building services in listed buildings. Traditional mechanical systems are often replaced with low-impact solutions like ground-source heat pumps where geotechnical conditions allow, or hybrid heating systems that utilize existing infrastructure efficiently. The data collected indicates a substantial reduction in carbon footprints for buildings where these architectural interventions were prioritized during the design phase rather than added as an afterthought.</w:t>
      </w:r>
    </w:p>
    <w:bookmarkEnd w:id="25"/>
    <w:bookmarkStart w:id="26" w:name="conclusion-and-future-directions"/>
    <w:p>
      <w:pPr>
        <w:pStyle w:val="Heading3"/>
      </w:pPr>
      <w:r>
        <w:t xml:space="preserve">Conclusion and Future Directions</w:t>
      </w:r>
    </w:p>
    <w:p>
      <w:pPr>
        <w:pStyle w:val="FirstParagraph"/>
      </w:pPr>
      <w:r>
        <w:t xml:space="preserve">This poster presentation concludes that the architect plays a pivotal role in shaping Manchester’s future by harmonizing historical preservation with sustainable innovation. The findings suggest that the most successful projects are those where the architectural intent is deeply rooted in an understanding of local context, materials, and community needs. For architects operating in Manchester and similar United Kingdom cities, this research emphasizes the importance of interdisciplinary collaboration with historians, engineers, and urban planners.</w:t>
      </w:r>
      <w:r>
        <w:t xml:space="preserve"> </w:t>
      </w:r>
      <w:r>
        <w:t xml:space="preserve">Future research directions should explore the scalability of these adaptive reuse strategies to larger industrial estates outside the city centre. Additionally, further investigation is needed into how digital fabrication technologies can be used to create bespoke architectural components that bridge old and new construction methods more seamlessly. By embracing these approaches, the architectural profession can ensure that Manchester remains a vibrant, sustainable, and culturally rich environment for generations to come.</w:t>
      </w:r>
    </w:p>
    <w:p>
      <w:pPr>
        <w:pStyle w:val="BodyText"/>
      </w:pPr>
      <w:r>
        <w:t xml:space="preserve">[Fig. 3: Proposed Framework for Sustainable Heritage Intervention]</w:t>
      </w:r>
    </w:p>
    <w:bookmarkEnd w:id="26"/>
    <w:p>
      <w:pPr>
        <w:pStyle w:val="BodyText"/>
      </w:pPr>
      <w:r>
        <w:t xml:space="preserve">© 2023 Academic Research Symposium | Manchester, United Kingdom | All Rights Reserved. Contact: j.smith@manchester.ac.uk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Architectural Futures in Manchester</dc:title>
  <dc:creator/>
  <dc:language>en</dc:language>
  <cp:keywords/>
  <dcterms:created xsi:type="dcterms:W3CDTF">2026-07-29T12:06:44Z</dcterms:created>
  <dcterms:modified xsi:type="dcterms:W3CDTF">2026-07-29T12:06:44Z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