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Tashkent</w:t>
      </w:r>
      <w:r>
        <w:t xml:space="preserve"> </w:t>
      </w:r>
      <w:r>
        <w:t xml:space="preserve">Symposium</w:t>
      </w:r>
    </w:p>
    <w:p>
      <w:pPr>
        <w:pStyle w:val="FirstParagraph"/>
      </w:pPr>
      <w:r>
        <w:t xml:space="preserve">--&gt; --&gt; 5px rgba(0, 0, 0, 1));</w:t>
      </w:r>
      <w:r>
        <w:t xml:space="preserve"> </w:t>
      </w:r>
      <w:r>
        <w:t xml:space="preserve">border-radius: 8px;</w:t>
      </w:r>
      <w:r>
        <w:t xml:space="preserve"> </w:t>
      </w:r>
      <w:r>
        <w:t xml:space="preserve">}</w:t>
      </w:r>
      <w:r>
        <w:t xml:space="preserve"> </w:t>
      </w:r>
      <w:r>
        <w:t xml:space="preserve">.header {</w:t>
      </w:r>
      <w:r>
        <w:t xml:space="preserve"> </w:t>
      </w:r>
      <w:r>
        <w:t xml:space="preserve">background-color: #2c3e50; /* Dark slate blue */</w:t>
      </w:r>
      <w:r>
        <w:t xml:space="preserve"> </w:t>
      </w:r>
      <w:r>
        <w:t xml:space="preserve">color: #ffffff;</w:t>
      </w:r>
      <w:r>
        <w:t xml:space="preserve"> </w:t>
      </w:r>
      <w:r>
        <w:t xml:space="preserve">padding: 40px 20px;</w:t>
      </w:r>
      <w:r>
        <w:t xml:space="preserve"> </w:t>
      </w:r>
      <w:r>
        <w:t xml:space="preserve">}</w:t>
      </w:r>
      <w:r>
        <w:t xml:space="preserve"> </w:t>
      </w:r>
      <w:r>
        <w:t xml:space="preserve">h1 { --&gt; 1) !important;"&gt;</w:t>
      </w:r>
    </w:p>
    <w:bookmarkStart w:id="20" w:name="introduction-and-context"/>
    <w:p>
      <w:pPr>
        <w:pStyle w:val="Heading3"/>
      </w:pPr>
      <w:r>
        <w:t xml:space="preserve">Introduction and Context</w:t>
      </w:r>
    </w:p>
    <w:p>
      <w:pPr>
        <w:pStyle w:val="FirstParagraph"/>
      </w:pPr>
      <w:r>
        <w:t xml:space="preserve">As an</w:t>
      </w:r>
      <w:r>
        <w:t xml:space="preserve"> </w:t>
      </w:r>
      <w:r>
        <w:rPr>
          <w:bCs/>
          <w:b/>
        </w:rPr>
        <w:t xml:space="preserve">Astronomer</w:t>
      </w:r>
      <w:r>
        <w:t xml:space="preserve">, presenting at this conference in</w:t>
      </w:r>
      <w:r>
        <w:t xml:space="preserve"> </w:t>
      </w:r>
      <w:r>
        <w:rPr>
          <w:bCs/>
          <w:b/>
        </w:rPr>
        <w:t xml:space="preserve">Tashkent, Uzbekistan</w:t>
      </w:r>
      <w:r>
        <w:t xml:space="preserve">, we stand at the intersection of ancient celestial tradition and modern scientific inquiry. This poster presentation outlines current research into high-energy astrophysics phenomena, specifically focusing on transient events that impact our understanding of galactic evolution. The location of this symposium in</w:t>
      </w:r>
      <w:r>
        <w:t xml:space="preserve"> </w:t>
      </w:r>
      <w:r>
        <w:rPr>
          <w:bCs/>
          <w:b/>
        </w:rPr>
        <w:t xml:space="preserve">Tashkent</w:t>
      </w:r>
      <w:r>
        <w:t xml:space="preserve"> </w:t>
      </w:r>
      <w:r>
        <w:t xml:space="preserve">is particularly symbolic; as a historic hub along the Silk Road, it represents the flow of knowledge across cultures and continents. Just as astronomers once navigated by stars for trade and exploration, modern researchers utilize advanced telescopic data to navigate the complexities of the universe. This presentation aims to bridge theoretical models with observational data relevant to both local university partners in</w:t>
      </w:r>
      <w:r>
        <w:t xml:space="preserve"> </w:t>
      </w:r>
      <w:r>
        <w:rPr>
          <w:bCs/>
          <w:b/>
        </w:rPr>
        <w:t xml:space="preserve">Tashkent</w:t>
      </w:r>
      <w:r>
        <w:t xml:space="preserve"> </w:t>
      </w:r>
      <w:r>
        <w:t xml:space="preserve">and international collaborators.</w:t>
      </w:r>
    </w:p>
    <w:bookmarkEnd w:id="20"/>
    <w:bookmarkStart w:id="21" w:name="methodology-and-observational-framework"/>
    <w:p>
      <w:pPr>
        <w:pStyle w:val="Heading3"/>
      </w:pPr>
      <w:r>
        <w:t xml:space="preserve">Methodology and Observational Framework</w:t>
      </w:r>
    </w:p>
    <w:p>
      <w:pPr>
        <w:pStyle w:val="FirstParagraph"/>
      </w:pPr>
      <w:r>
        <w:t xml:space="preserve">The primary objective of this study was to analyze light curves from supernova candidates detected in the local group. As an</w:t>
      </w:r>
      <w:r>
        <w:t xml:space="preserve"> </w:t>
      </w:r>
      <w:r>
        <w:rPr>
          <w:bCs/>
          <w:b/>
        </w:rPr>
        <w:t xml:space="preserve">Astronomer</w:t>
      </w:r>
      <w:r>
        <w:t xml:space="preserve">, employing rigorous statistical methods is paramount. We utilized data acquired from space-based observatories, cross-referencing with ground-based telescopes located in optimal high-altitude sites. While</w:t>
      </w:r>
      <w:r>
        <w:t xml:space="preserve"> </w:t>
      </w:r>
      <w:r>
        <w:rPr>
          <w:bCs/>
          <w:b/>
        </w:rPr>
        <w:t xml:space="preserve">Tashkent</w:t>
      </w:r>
      <w:r>
        <w:t xml:space="preserve"> </w:t>
      </w:r>
      <w:r>
        <w:t xml:space="preserve">itself is not a primary observatory site due to atmospheric conditions, it serves as a critical computational and analytical hub for Central Asian astronomers. The methodology involved reducing raw image data using specialized Python-based pipelines, applying photometric calibration techniques to ensure accuracy across different sensor types. By standardizing these protocols, we ensure that data contributed by institutions in</w:t>
      </w:r>
      <w:r>
        <w:t xml:space="preserve"> </w:t>
      </w:r>
      <w:r>
        <w:rPr>
          <w:bCs/>
          <w:b/>
        </w:rPr>
        <w:t xml:space="preserve">Tashkent</w:t>
      </w:r>
      <w:r>
        <w:t xml:space="preserve"> </w:t>
      </w:r>
      <w:r>
        <w:t xml:space="preserve">remains compatible with global databases such as the Virtual Observatory. This collaborative approach highlights the growing role of</w:t>
      </w:r>
      <w:r>
        <w:t xml:space="preserve"> </w:t>
      </w:r>
      <w:r>
        <w:rPr>
          <w:bCs/>
          <w:b/>
        </w:rPr>
        <w:t xml:space="preserve">Tashkent</w:t>
      </w:r>
      <w:r>
        <w:t xml:space="preserve"> </w:t>
      </w:r>
      <w:r>
        <w:t xml:space="preserve">in the broader international astronomical community.</w:t>
      </w:r>
    </w:p>
    <w:bookmarkEnd w:id="21"/>
    <w:bookmarkStart w:id="22" w:name="data-analysis-and-key-findings"/>
    <w:p>
      <w:pPr>
        <w:pStyle w:val="Heading3"/>
      </w:pPr>
      <w:r>
        <w:t xml:space="preserve">Data Analysis and Key Findings</w:t>
      </w:r>
    </w:p>
    <w:p>
      <w:pPr>
        <w:pStyle w:val="FirstParagraph"/>
      </w:pPr>
      <w:r>
        <w:t xml:space="preserve">Our analysis reveals a correlation between certain spectral line ratios and the progenitor systems of Type Ia supernovae. As an</w:t>
      </w:r>
      <w:r>
        <w:t xml:space="preserve"> </w:t>
      </w:r>
      <w:r>
        <w:rPr>
          <w:bCs/>
          <w:b/>
        </w:rPr>
        <w:t xml:space="preserve">Astronomer</w:t>
      </w:r>
      <w:r>
        <w:t xml:space="preserve">, interpreting these signatures allows us to refine estimates of cosmic expansion rates. The data processed through our team in</w:t>
      </w:r>
      <w:r>
        <w:t xml:space="preserve"> </w:t>
      </w:r>
      <w:r>
        <w:rPr>
          <w:bCs/>
          <w:b/>
        </w:rPr>
        <w:t xml:space="preserve">Tashkent</w:t>
      </w:r>
      <w:r>
        <w:t xml:space="preserve"> </w:t>
      </w:r>
      <w:r>
        <w:t xml:space="preserve">shows a distinct anomaly in the late-time decline phase, suggesting possible interaction with circumstellar material. This finding challenges existing models that assume isolated progenitor systems. Furthermore, we identified several potential microlensing events within the crowded fields of globular clusters. These events provide a unique opportunity to study dark matter distribution on small scales. The robust computational infrastructure in</w:t>
      </w:r>
      <w:r>
        <w:t xml:space="preserve"> </w:t>
      </w:r>
      <w:r>
        <w:rPr>
          <w:bCs/>
          <w:b/>
        </w:rPr>
        <w:t xml:space="preserve">Tashkent</w:t>
      </w:r>
      <w:r>
        <w:t xml:space="preserve"> </w:t>
      </w:r>
      <w:r>
        <w:t xml:space="preserve">enabled us to perform these complex simulations efficiently, demonstrating the capacity for high-performance computing in regional academic centers.</w:t>
      </w:r>
    </w:p>
    <w:bookmarkEnd w:id="22"/>
    <w:bookmarkStart w:id="23" w:name="the-role-of-tashkent-in-global-astronomy"/>
    <w:p>
      <w:pPr>
        <w:pStyle w:val="Heading3"/>
      </w:pPr>
      <w:r>
        <w:t xml:space="preserve">The Role of Tashkent in Global Astronomy</w:t>
      </w:r>
    </w:p>
    <w:p>
      <w:pPr>
        <w:pStyle w:val="FirstParagraph"/>
      </w:pPr>
      <w:r>
        <w:t xml:space="preserve">It is crucial to contextualize this research within the framework of Central Asian science.</w:t>
      </w:r>
      <w:r>
        <w:t xml:space="preserve"> </w:t>
      </w:r>
      <w:r>
        <w:rPr>
          <w:bCs/>
          <w:b/>
        </w:rPr>
        <w:t xml:space="preserve">Tashkent, Uzbekistan</w:t>
      </w:r>
      <w:r>
        <w:t xml:space="preserve">, has been making significant strides in supporting STEM education and research facilities. This presentation serves as a testament to the potential of regional hubs in contributing to global scientific challenges. The presence of an international audience in</w:t>
      </w:r>
      <w:r>
        <w:t xml:space="preserve"> </w:t>
      </w:r>
      <w:r>
        <w:rPr>
          <w:bCs/>
          <w:b/>
        </w:rPr>
        <w:t xml:space="preserve">Tashkent</w:t>
      </w:r>
      <w:r>
        <w:t xml:space="preserve"> </w:t>
      </w:r>
      <w:r>
        <w:t xml:space="preserve">underscores the city's growing importance as a venue for academic exchange. By highlighting our findings, we invite collaboration with local universities and observatories near</w:t>
      </w:r>
      <w:r>
        <w:t xml:space="preserve"> </w:t>
      </w:r>
      <w:r>
        <w:rPr>
          <w:bCs/>
          <w:b/>
        </w:rPr>
        <w:t xml:space="preserve">Tashkent</w:t>
      </w:r>
      <w:r>
        <w:t xml:space="preserve">. There is a strong interest in developing low-latency data streaming capabilities for remote telescope control from this region. This poster advocates for increased investment in infrastructure that supports real-time astronomical observation, leveraging the strategic location of</w:t>
      </w:r>
      <w:r>
        <w:t xml:space="preserve"> </w:t>
      </w:r>
      <w:r>
        <w:rPr>
          <w:bCs/>
          <w:b/>
        </w:rPr>
        <w:t xml:space="preserve">Tashkent</w:t>
      </w:r>
      <w:r>
        <w:t xml:space="preserve"> </w:t>
      </w:r>
      <w:r>
        <w:t xml:space="preserve">between Europe and Asia.</w:t>
      </w:r>
    </w:p>
    <w:bookmarkEnd w:id="23"/>
    <w:bookmarkStart w:id="24" w:name="Xc5087d564a28952de4fd797f6c0f3b8dadd2ec8"/>
    <w:p>
      <w:pPr>
        <w:pStyle w:val="Heading3"/>
      </w:pPr>
      <w:r>
        <w:t xml:space="preserve">Astronomer Perspectives on Future Research</w:t>
      </w:r>
    </w:p>
    <w:p>
      <w:pPr>
        <w:pStyle w:val="FirstParagraph"/>
      </w:pPr>
      <w:r>
        <w:t xml:space="preserve">Looking forward, the role of an</w:t>
      </w:r>
      <w:r>
        <w:t xml:space="preserve"> </w:t>
      </w:r>
      <w:r>
        <w:rPr>
          <w:bCs/>
          <w:b/>
        </w:rPr>
        <w:t xml:space="preserve">Astronomer</w:t>
      </w:r>
      <w:r>
        <w:t xml:space="preserve"> </w:t>
      </w:r>
      <w:r>
        <w:t xml:space="preserve">is evolving to include greater interdisciplinary collaboration. We propose a joint initiative between institutions in</w:t>
      </w:r>
      <w:r>
        <w:t xml:space="preserve"> </w:t>
      </w:r>
      <w:r>
        <w:rPr>
          <w:bCs/>
          <w:b/>
        </w:rPr>
        <w:t xml:space="preserve">Tashkent</w:t>
      </w:r>
      <w:r>
        <w:t xml:space="preserve"> </w:t>
      </w:r>
      <w:r>
        <w:t xml:space="preserve">and European Space Agency partners to monitor transient events in the Southern Hemisphere. The logistical advantages of coordinating from a central time zone like that of</w:t>
      </w:r>
      <w:r>
        <w:t xml:space="preserve"> </w:t>
      </w:r>
      <w:r>
        <w:rPr>
          <w:bCs/>
          <w:b/>
        </w:rPr>
        <w:t xml:space="preserve">Tashkent</w:t>
      </w:r>
      <w:r>
        <w:t xml:space="preserve"> </w:t>
      </w:r>
      <w:r>
        <w:t xml:space="preserve">are significant for global observation networks. Additionally, we emphasize the importance of public outreach. Astronomy serves as a powerful tool for inspiring young scientists in Uzbekistan and beyond. Educational programs developed in</w:t>
      </w:r>
      <w:r>
        <w:t xml:space="preserve"> </w:t>
      </w:r>
      <w:r>
        <w:rPr>
          <w:bCs/>
          <w:b/>
        </w:rPr>
        <w:t xml:space="preserve">Tashkent</w:t>
      </w:r>
      <w:r>
        <w:t xml:space="preserve"> </w:t>
      </w:r>
      <w:r>
        <w:t xml:space="preserve">can play a pivotal role in nurturing the next generation of researchers who will continue to push the boundaries of our cosmic understanding.</w:t>
      </w:r>
    </w:p>
    <w:bookmarkEnd w:id="24"/>
    <w:bookmarkStart w:id="25" w:name="conclusion-and-implications"/>
    <w:p>
      <w:pPr>
        <w:pStyle w:val="Heading3"/>
      </w:pPr>
      <w:r>
        <w:t xml:space="preserve">Conclusion and Implications</w:t>
      </w:r>
    </w:p>
    <w:p>
      <w:pPr>
        <w:pStyle w:val="FirstParagraph"/>
      </w:pPr>
      <w:r>
        <w:t xml:space="preserve">In conclusion, this poster presentation highlights significant advancements in supernova physics while emphasizing the vital role that regional centers like</w:t>
      </w:r>
      <w:r>
        <w:t xml:space="preserve"> </w:t>
      </w:r>
      <w:r>
        <w:rPr>
          <w:bCs/>
          <w:b/>
        </w:rPr>
        <w:t xml:space="preserve">Tashkent, Uzbekistan</w:t>
      </w:r>
      <w:r>
        <w:t xml:space="preserve">, play in the global scientific ecosystem. The data analyzed demonstrates that high-quality astronomical research is accessible and impactful regardless of geographic location when supported by robust methodologies and international cooperation. As an</w:t>
      </w:r>
      <w:r>
        <w:t xml:space="preserve"> </w:t>
      </w:r>
      <w:r>
        <w:rPr>
          <w:bCs/>
          <w:b/>
        </w:rPr>
        <w:t xml:space="preserve">Astronomer</w:t>
      </w:r>
      <w:r>
        <w:t xml:space="preserve">, I am proud to present these findings in</w:t>
      </w:r>
      <w:r>
        <w:t xml:space="preserve"> </w:t>
      </w:r>
      <w:r>
        <w:rPr>
          <w:bCs/>
          <w:b/>
        </w:rPr>
        <w:t xml:space="preserve">Tashkent</w:t>
      </w:r>
      <w:r>
        <w:t xml:space="preserve">, a city that embodies the spirit of discovery and connectivity. We urge our peers to consider partnerships that leverage the growing technical expertise available in Central Asia. The future of astronomy is collaborative, diverse, and increasingly interconnected through digital infrastructure centered in hubs like</w:t>
      </w:r>
      <w:r>
        <w:t xml:space="preserve"> </w:t>
      </w:r>
      <w:r>
        <w:rPr>
          <w:bCs/>
          <w:b/>
        </w:rPr>
        <w:t xml:space="preserve">Tashkent</w:t>
      </w:r>
      <w:r>
        <w:t xml:space="preserve">.</w:t>
      </w:r>
    </w:p>
    <w:bookmarkEnd w:id="25"/>
    <w:bookmarkStart w:id="26" w:name="acknowledgments-and-references"/>
    <w:p>
      <w:pPr>
        <w:pStyle w:val="Heading3"/>
      </w:pPr>
      <w:r>
        <w:t xml:space="preserve">Acknowledgments and References</w:t>
      </w:r>
    </w:p>
    <w:p>
      <w:pPr>
        <w:pStyle w:val="FirstParagraph"/>
      </w:pPr>
      <w:r>
        <w:t xml:space="preserve">We extend our gratitude to the organizing committee of the symposium in</w:t>
      </w:r>
      <w:r>
        <w:t xml:space="preserve"> </w:t>
      </w:r>
      <w:r>
        <w:rPr>
          <w:bCs/>
          <w:b/>
        </w:rPr>
        <w:t xml:space="preserve">Tashkent</w:t>
      </w:r>
      <w:r>
        <w:t xml:space="preserve">, Uzbekistan, for facilitating this exchange of ideas. Special thanks are due to the computational support staff at local institutions who assisted with data reduction tasks. This research was partially funded by international grants aimed at supporting astronomical development in Central Asia. Key references include recent publications from journals such as 'The Astrophysical Journal' and 'Monthly Notices of the Royal Astronomical Society', many of which now feature collaborations involving researchers based in</w:t>
      </w:r>
      <w:r>
        <w:t xml:space="preserve"> </w:t>
      </w:r>
      <w:r>
        <w:rPr>
          <w:bCs/>
          <w:b/>
        </w:rPr>
        <w:t xml:space="preserve">Tashkent</w:t>
      </w:r>
      <w:r>
        <w:t xml:space="preserve">. For further inquiries regarding this data or potential collaboration opportunities, please contact the lead author at [Insert Email Address]. Let us continue to look up and move forward together from</w:t>
      </w:r>
      <w:r>
        <w:t xml:space="preserve"> </w:t>
      </w:r>
      <w:r>
        <w:rPr>
          <w:bCs/>
          <w:b/>
        </w:rPr>
        <w:t xml:space="preserve">Tashkent</w:t>
      </w:r>
      <w:r>
        <w:t xml:space="preserve"> </w:t>
      </w:r>
      <w:r>
        <w:t xml:space="preserve">into the cosmos.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Tashkent Symposium</dc:title>
  <dc:creator/>
  <dc:language>en</dc:language>
  <cp:keywords/>
  <dcterms:created xsi:type="dcterms:W3CDTF">2026-07-29T21:53:08Z</dcterms:created>
  <dcterms:modified xsi:type="dcterms:W3CDTF">2026-07-29T21:53:08Z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