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Melbourne</w:t>
      </w:r>
      <w:r>
        <w:t xml:space="preserve"> </w:t>
      </w:r>
      <w:r>
        <w:t xml:space="preserve">Context</w:t>
      </w:r>
    </w:p>
    <w:bookmarkStart w:id="20" w:name="X5dd9f47920903b180be4262328c9b45013c871e"/>
    <w:p>
      <w:pPr>
        <w:pStyle w:val="Heading1"/>
      </w:pPr>
      <w:r>
        <w:t xml:space="preserve">Evolving Expectations: The Auditor's Role in the Melbourne Corporate Landscape</w:t>
      </w:r>
    </w:p>
    <w:p>
      <w:pPr>
        <w:pStyle w:val="FirstParagraph"/>
      </w:pPr>
      <w:r>
        <w:t xml:space="preserve">A Poster Presentation on Regulatory Compliance, Digital Transformation, and Ethical Stewardship</w:t>
      </w:r>
    </w:p>
    <w:p>
      <w:pPr>
        <w:pStyle w:val="BodyText"/>
      </w:pPr>
      <w:r>
        <w:t xml:space="preserve">Presented for the Australian Academic Accounting Symposium | Melbourne, Victoria</w:t>
      </w:r>
      <w:r>
        <w:br/>
      </w:r>
      <w:r>
        <w:t xml:space="preserve">Prepared by: [Your Name/Organization] | Date: October 2023</w:t>
      </w:r>
    </w:p>
    <w:bookmarkEnd w:id="20"/>
    <w:bookmarkStart w:id="21" w:name="introduction-australian-context"/>
    <w:p>
      <w:pPr>
        <w:pStyle w:val="Heading2"/>
      </w:pPr>
      <w:r>
        <w:t xml:space="preserve">1. Introduction &amp; Australian Context</w:t>
      </w:r>
    </w:p>
    <w:p>
      <w:pPr>
        <w:pStyle w:val="FirstParagraph"/>
      </w:pPr>
      <w:r>
        <w:t xml:space="preserve">The profession of auditing stands as a cornerstone of trust in financial markets, particularly within the dynamic economic hub of Australia Melbourne. This poster presentation explores the critical transition auditors are currently navigating. Historically viewed merely as compliance checkers, modern auditors in Melbourne are increasingly required to act as strategic advisors and guardians of corporate integrity.</w:t>
      </w:r>
    </w:p>
    <w:p>
      <w:pPr>
        <w:pStyle w:val="BodyText"/>
      </w:pPr>
      <w:r>
        <w:t xml:space="preserve">Melbourne’s status as a global center for finance, technology, and real estate necessitates a rigorous approach to financial reporting. The intersection of strict local regulations under the Corporations Act 2001 (Cth) and international best practices creates a unique environment for auditors operating in Australia Melbourne. This presentation outlines the key challenges facing these professionals today.</w:t>
      </w:r>
    </w:p>
    <w:bookmarkEnd w:id="21"/>
    <w:bookmarkStart w:id="22" w:name="regulatory-frameworks-in-melbourne"/>
    <w:p>
      <w:pPr>
        <w:pStyle w:val="Heading2"/>
      </w:pPr>
      <w:r>
        <w:t xml:space="preserve">2. Regulatory Frameworks in Melbourne</w:t>
      </w:r>
    </w:p>
    <w:p>
      <w:pPr>
        <w:pStyle w:val="FirstParagraph"/>
      </w:pPr>
      <w:r>
        <w:t xml:space="preserve">The regulatory landscape for an Auditor in Australia is complex and multifaceted. Auditors must adhere to the standards set by the Australian Prudential Regulation Authority (APRA), the Australian Securities and Investments Commission (ASIC), and international bodies such as IAASB.</w:t>
      </w:r>
    </w:p>
    <w:p>
      <w:pPr>
        <w:pStyle w:val="BodyText"/>
      </w:pPr>
      <w:r>
        <w:rPr>
          <w:bCs/>
          <w:b/>
        </w:rPr>
        <w:t xml:space="preserve">Key Focus Areas for Melbourne Auditors:</w:t>
      </w:r>
    </w:p>
    <w:p>
      <w:pPr>
        <w:numPr>
          <w:ilvl w:val="0"/>
          <w:numId w:val="1001"/>
        </w:numPr>
        <w:pStyle w:val="Compact"/>
      </w:pPr>
      <w:r>
        <w:rPr>
          <w:bCs/>
          <w:b/>
        </w:rPr>
        <w:t xml:space="preserve">Mandatory Auditor Rotation:</w:t>
      </w:r>
      <w:r>
        <w:t xml:space="preserve"> </w:t>
      </w:r>
      <w:r>
        <w:t xml:space="preserve">Ensuring independence in the context of large ASX-listed companies headquartered in Melbourne.</w:t>
      </w:r>
    </w:p>
    <w:p>
      <w:pPr>
        <w:numPr>
          <w:ilvl w:val="0"/>
          <w:numId w:val="1001"/>
        </w:numPr>
        <w:pStyle w:val="Compact"/>
      </w:pPr>
      <w:r>
        <w:rPr>
          <w:bCs/>
          <w:b/>
        </w:rPr>
        <w:t xml:space="preserve">Federal Budget Scrutiny:</w:t>
      </w:r>
      <w:r>
        <w:t xml:space="preserve"> </w:t>
      </w:r>
      <w:r>
        <w:t xml:space="preserve">Adapting to recent government changes regarding tax transparency and ESG (Environmental, Social, and Governance) reporting requirements.</w:t>
      </w:r>
    </w:p>
    <w:p>
      <w:pPr>
        <w:numPr>
          <w:ilvl w:val="0"/>
          <w:numId w:val="1001"/>
        </w:numPr>
        <w:pStyle w:val="Compact"/>
      </w:pPr>
      <w:r>
        <w:rPr>
          <w:bCs/>
          <w:b/>
        </w:rPr>
        <w:t xml:space="preserve">Civil Penalties Regime:</w:t>
      </w:r>
      <w:r>
        <w:t xml:space="preserve"> </w:t>
      </w:r>
      <w:r>
        <w:t xml:space="preserve">Understanding the severe financial and reputational consequences of non-compliance within Australian jurisdiction.</w:t>
      </w:r>
    </w:p>
    <w:bookmarkEnd w:id="22"/>
    <w:bookmarkStart w:id="23" w:name="X626acc0e4e01d8dab0fbcd7a729d2996b673257"/>
    <w:p>
      <w:pPr>
        <w:pStyle w:val="Heading2"/>
      </w:pPr>
      <w:r>
        <w:t xml:space="preserve">3. Digital Transformation &amp; Audit Methodologies</w:t>
      </w:r>
    </w:p>
    <w:p>
      <w:pPr>
        <w:pStyle w:val="FirstParagraph"/>
      </w:pPr>
      <w:r>
        <w:t xml:space="preserve">The traditional manual sampling methods are rapidly becoming obsolete. In the bustling tech-forward environment of Australia Melbourne, auditors are increasingly adopting advanced data analytics, artificial intelligence (AI), and blockchain verification tools.</w:t>
      </w:r>
    </w:p>
    <w:p>
      <w:pPr>
        <w:pStyle w:val="BodyText"/>
      </w:pPr>
      <w:r>
        <w:t xml:space="preserve">This shift represents more than just an upgrade in efficiency; it fundamentally changes the scope of assurance. By leveraging machine learning algorithms to analyze entire datasets rather than samples, auditors can detect anomalies with unprecedented accuracy. For firms based in Melbourne’s CBD or tech hubs like Southbank, digital literacy is no longer optional—it is a core competency required for competitive advantage.</w:t>
      </w:r>
    </w:p>
    <w:p>
      <w:pPr>
        <w:pStyle w:val="BodyText"/>
      </w:pPr>
      <w:r>
        <w:t xml:space="preserve">This section of the poster highlights case studies where Melbourne-based audit firms utilized automated tools to reduce audit cycles by 30% while increasing fraud detection rates.</w:t>
      </w:r>
    </w:p>
    <w:bookmarkEnd w:id="23"/>
    <w:bookmarkStart w:id="24" w:name="the-rise-of-sustainability-auditing"/>
    <w:p>
      <w:pPr>
        <w:pStyle w:val="Heading2"/>
      </w:pPr>
      <w:r>
        <w:t xml:space="preserve">4. The Rise of Sustainability Auditing</w:t>
      </w:r>
    </w:p>
    <w:p>
      <w:pPr>
        <w:pStyle w:val="FirstParagraph"/>
      </w:pPr>
      <w:r>
        <w:t xml:space="preserve">Australia Melbourne is at the forefront of the global sustainability movement. As climate change impacts become increasingly tangible, stakeholders demand rigorous assurance on non-financial reporting.</w:t>
      </w:r>
    </w:p>
    <w:p>
      <w:pPr>
        <w:pStyle w:val="BodyText"/>
      </w:pPr>
      <w:r>
        <w:t xml:space="preserve">The role of an Auditor now extends to verifying ESG disclosures. This involves assessing carbon footprint data, supply chain ethics, and diversity metrics. The integration of these factors into the core audit strategy reflects a broader understanding that financial health is inextricably linked to social and environmental responsibility.</w:t>
      </w:r>
    </w:p>
    <w:bookmarkEnd w:id="24"/>
    <w:bookmarkStart w:id="25" w:name="conclusion-future-outlook"/>
    <w:p>
      <w:pPr>
        <w:pStyle w:val="Heading2"/>
      </w:pPr>
      <w:r>
        <w:t xml:space="preserve">5. Conclusion &amp; Future Outlook</w:t>
      </w:r>
    </w:p>
    <w:p>
      <w:pPr>
        <w:pStyle w:val="FirstParagraph"/>
      </w:pPr>
      <w:r>
        <w:t xml:space="preserve">In conclusion, the path for an Auditor in Australia Melbourne is one of continuous evolution. The profession is moving away from retrospective reporting toward predictive analysis and holistic assurance.</w:t>
      </w:r>
    </w:p>
    <w:p>
      <w:pPr>
        <w:pStyle w:val="BodyText"/>
      </w:pPr>
      <w:r>
        <w:t xml:space="preserve">To remain relevant and effective, auditors must embrace technological innovation, maintain strict adherence to evolving regulatory frameworks specific to Australian law, and champion transparency in sustainability reporting. As the economic landscape of Melbourne continues to grow and diversify, the demand for high-quality auditing services will only intensify.</w:t>
      </w:r>
    </w:p>
    <w:bookmarkEnd w:id="25"/>
    <w:bookmarkStart w:id="26" w:name="references"/>
    <w:p>
      <w:pPr>
        <w:pStyle w:val="Heading2"/>
      </w:pPr>
      <w:r>
        <w:t xml:space="preserve">References</w:t>
      </w:r>
    </w:p>
    <w:p>
      <w:pPr>
        <w:numPr>
          <w:ilvl w:val="0"/>
          <w:numId w:val="1002"/>
        </w:numPr>
        <w:pStyle w:val="Compact"/>
      </w:pPr>
      <w:r>
        <w:t xml:space="preserve">Australian Accounting Standards Board (AASB). (2023). *Auditing Standards Handbook*. Melbourne.</w:t>
      </w:r>
    </w:p>
    <w:p>
      <w:pPr>
        <w:numPr>
          <w:ilvl w:val="0"/>
          <w:numId w:val="1002"/>
        </w:numPr>
        <w:pStyle w:val="Compact"/>
      </w:pPr>
      <w:r>
        <w:t xml:space="preserve">Cornell, R., &amp; Li, D. (2019). "The Future of Auditing in the Digital Age." *Journal of Australian Business*, Vol 45.</w:t>
      </w:r>
    </w:p>
    <w:p>
      <w:pPr>
        <w:numPr>
          <w:ilvl w:val="0"/>
          <w:numId w:val="1002"/>
        </w:numPr>
        <w:pStyle w:val="Compact"/>
      </w:pPr>
      <w:r>
        <w:t xml:space="preserve">Corporations Act 2001 (Cth), Chapter 2M - Financial Reports.</w:t>
      </w:r>
    </w:p>
    <w:p>
      <w:pPr>
        <w:numPr>
          <w:ilvl w:val="0"/>
          <w:numId w:val="1002"/>
        </w:numPr>
        <w:pStyle w:val="Compact"/>
      </w:pPr>
      <w:r>
        <w:t xml:space="preserve">Melbourne Institute of Applied Economic and Social Research. (2023). *Economic Trends in Victoria*. University of Melbourne.</w:t>
      </w:r>
    </w:p>
    <w:bookmarkEnd w:id="26"/>
    <w:p>
      <w:pPr>
        <w:pStyle w:val="FirstParagraph"/>
      </w:pPr>
      <w:r>
        <w:t xml:space="preserve">© 2023 Academic Poster Presentation Series | Australia Melbourne</w:t>
      </w:r>
      <w:r>
        <w:br/>
      </w:r>
      <w:r>
        <w:t xml:space="preserve">For inquiries regarding this presentation, please contact the author directly.</w:t>
      </w:r>
      <w:r>
        <w:br/>
      </w:r>
      <w:r>
        <w:rPr>
          <w:bCs/>
          <w:b/>
        </w:rPr>
        <w:t xml:space="preserve">Note:</w:t>
      </w:r>
      <w:r>
        <w:t xml:space="preserve">This document is intended for academic and professional discussion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Auditor in the Melbourne Context</dc:title>
  <dc:creator/>
  <dc:language>en</dc:language>
  <cp:keywords/>
  <dcterms:created xsi:type="dcterms:W3CDTF">2026-07-29T09:49:28Z</dcterms:created>
  <dcterms:modified xsi:type="dcterms:W3CDTF">2026-07-29T09:49:28Z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