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p>
    <w:bookmarkStart w:id="29" w:name="X2d0731af2ffa571368b7c73a0b8180f5ecc8498"/>
    <w:p>
      <w:pPr>
        <w:pStyle w:val="Heading1"/>
      </w:pPr>
      <w:r>
        <w:t xml:space="preserve">The Evolving Role of the Auditor in China Beijing: Navigating Regulatory Shifts and Digital Transformation</w:t>
      </w:r>
    </w:p>
    <w:bookmarkStart w:id="20" w:name="abstract"/>
    <w:p>
      <w:pPr>
        <w:pStyle w:val="Heading2"/>
      </w:pPr>
      <w:r>
        <w:t xml:space="preserve">Abstract</w:t>
      </w:r>
    </w:p>
    <w:p>
      <w:pPr>
        <w:pStyle w:val="FirstParagraph"/>
      </w:pPr>
      <w:r>
        <w:t xml:space="preserve">This Poster Presentation academic document explores the critical transformation of the auditing profession within the dynamic economic landscape of China Beijing. As a global financial hub, China Beijing serves as a microcosm for broader trends in corporate governance and financial transparency across Asia. This presentation analyzes how modern Auditors must adapt to stringent regulatory frameworks introduced by Chinese authorities, while simultaneously integrating advanced digital technologies to ensure audit quality and efficiency. The study highlights the dual pressure on professionals operating in this region: maintaining strict compliance with local laws such as the revised Securities Law and International Standards on Auditing (ISAs), while leveraging big data analytics to meet international expectations.</w:t>
      </w:r>
    </w:p>
    <w:bookmarkEnd w:id="20"/>
    <w:bookmarkStart w:id="21" w:name="X3423493898364628b6b58a8622925bb9768db94"/>
    <w:p>
      <w:pPr>
        <w:pStyle w:val="Heading2"/>
      </w:pPr>
      <w:r>
        <w:t xml:space="preserve">Introduction: The Strategic Context of China Beijing</w:t>
      </w:r>
    </w:p>
    <w:p>
      <w:pPr>
        <w:pStyle w:val="FirstParagraph"/>
      </w:pPr>
      <w:r>
        <w:t xml:space="preserve">The city of China Beijing stands as the political and financial heart of the People's Republic of China. For Auditors practicing in this specific jurisdiction, the environment is characterized by rapid legislative updates and a heightened emphasis on state-led economic stability. Unlike Western markets where audit regulation may be decentralized or industry-driven, auditing in China Beijing is deeply intertwined with national strategic goals.</w:t>
      </w:r>
    </w:p>
    <w:p>
      <w:pPr>
        <w:pStyle w:val="BodyText"/>
      </w:pPr>
      <w:r>
        <w:t xml:space="preserve">In recent years, the Chinese government has prioritized the integrity of capital markets to attract foreign direct investment and support the dual-circulation development strategy. Consequently, the role of the Auditor has shifted from a traditional verification function to a vital guardian of public interest. This presentation argues that for an Auditor in China Beijing, technical competence is no longer sufficient; one must possess a deep understanding of geopolitical economic policies and local regulatory nuances to effectively mitigate systemic risks.</w:t>
      </w:r>
    </w:p>
    <w:bookmarkEnd w:id="21"/>
    <w:bookmarkStart w:id="22" w:name="Xd418c2f967c1d5918d0f37916f9af3a1f708e94"/>
    <w:p>
      <w:pPr>
        <w:pStyle w:val="Heading2"/>
      </w:pPr>
      <w:r>
        <w:t xml:space="preserve">Regulatory Landscape and Compliance Challenges</w:t>
      </w:r>
    </w:p>
    <w:p>
      <w:pPr>
        <w:pStyle w:val="FirstParagraph"/>
      </w:pPr>
      <w:r>
        <w:t xml:space="preserve">The primary challenge for Auditors in China Beijing is navigating the complex web of domestic regulations. The Ministry of Finance (MOF) and the Chinese Institute of Certified Public Accountants (CICPA) have recently enforced stricter penalties for audit failures, aligning more closely with international best practices but maintaining distinct local characteristics.</w:t>
      </w:r>
    </w:p>
    <w:p>
      <w:pPr>
        <w:numPr>
          <w:ilvl w:val="0"/>
          <w:numId w:val="1001"/>
        </w:numPr>
        <w:pStyle w:val="Compact"/>
      </w:pPr>
      <w:r>
        <w:rPr>
          <w:bCs/>
          <w:b/>
        </w:rPr>
        <w:t xml:space="preserve">The Revised Securities Law:</w:t>
      </w:r>
      <w:r>
        <w:t xml:space="preserve"> </w:t>
      </w:r>
      <w:r>
        <w:t xml:space="preserve">This legislation has significantly increased the legal liability for Auditors involved in fraudulent reporting. For professionals in China Beijing, this means a higher personal and professional risk profile, requiring enhanced due diligence procedures.</w:t>
      </w:r>
    </w:p>
    <w:p>
      <w:pPr>
        <w:numPr>
          <w:ilvl w:val="0"/>
          <w:numId w:val="1001"/>
        </w:numPr>
        <w:pStyle w:val="Compact"/>
      </w:pPr>
      <w:r>
        <w:rPr>
          <w:bCs/>
          <w:b/>
        </w:rPr>
        <w:t xml:space="preserve">Data Security Laws:</w:t>
      </w:r>
      <w:r>
        <w:t xml:space="preserve"> </w:t>
      </w:r>
      <w:r>
        <w:t xml:space="preserve">New regulations regarding data cross-border transfer pose significant hurdles for multinational audit firms operating in China Beijing. Auditors must now ensure that sensitive client data does not violate national security protocols while still fulfilling international reporting obligations.</w:t>
      </w:r>
    </w:p>
    <w:p>
      <w:pPr>
        <w:numPr>
          <w:ilvl w:val="0"/>
          <w:numId w:val="1001"/>
        </w:numPr>
        <w:pStyle w:val="Compact"/>
      </w:pPr>
      <w:r>
        <w:rPr>
          <w:bCs/>
          <w:b/>
        </w:rPr>
        <w:t xml:space="preserve">Cultural Nuances in Governance:</w:t>
      </w:r>
      <w:r>
        <w:t xml:space="preserve"> </w:t>
      </w:r>
      <w:r>
        <w:t xml:space="preserve">The concept of "Guanxi" (relationships) can sometimes blur professional boundaries. Auditors must navigate these cultural expectations with strict ethical adherence, ensuring that independence is maintained despite close business relationships common in Chinese corporate structures.</w:t>
      </w:r>
    </w:p>
    <w:bookmarkEnd w:id="22"/>
    <w:bookmarkStart w:id="23" w:name="X5222bdf887651d52d9c604700b9dfe86fb9edeb"/>
    <w:p>
      <w:pPr>
        <w:pStyle w:val="Heading2"/>
      </w:pPr>
      <w:r>
        <w:t xml:space="preserve">Digital Transformation: The Auditor's New Toolkit</w:t>
      </w:r>
    </w:p>
    <w:p>
      <w:pPr>
        <w:pStyle w:val="FirstParagraph"/>
      </w:pPr>
      <w:r>
        <w:t xml:space="preserve">To address these complexities, Auditors in China Beijing are increasingly turning to technology. The adoption of Artificial Intelligence (AI), Machine Learning (ML), and Robotic Process Automation (RPA) is not merely a trend but a necessity for efficiency and accuracy. In the fast-paced environment of China Beijing's financial sector, manual audit procedures are becoming obsolete.</w:t>
      </w:r>
    </w:p>
    <w:p>
      <w:pPr>
        <w:pStyle w:val="BodyText"/>
      </w:pPr>
      <w:r>
        <w:t xml:space="preserve">Key technological adaptations include:</w:t>
      </w:r>
    </w:p>
    <w:p>
      <w:pPr>
        <w:numPr>
          <w:ilvl w:val="0"/>
          <w:numId w:val="1002"/>
        </w:numPr>
        <w:pStyle w:val="Compact"/>
      </w:pPr>
      <w:r>
        <w:rPr>
          <w:bCs/>
          <w:b/>
        </w:rPr>
        <w:t xml:space="preserve">Data Analytics Platforms:</w:t>
      </w:r>
      <w:r>
        <w:t xml:space="preserve"> </w:t>
      </w:r>
      <w:r>
        <w:t xml:space="preserve">Utilizing tools that can process millions of transactions in real-time to detect anomalies indicative of fraud or error. This is crucial for Auditors managing large-scale enterprises in Beijing’s state-owned sectors.</w:t>
      </w:r>
    </w:p>
    <w:p>
      <w:pPr>
        <w:numPr>
          <w:ilvl w:val="0"/>
          <w:numId w:val="1002"/>
        </w:numPr>
        <w:pStyle w:val="Compact"/>
      </w:pPr>
      <w:r>
        <w:rPr>
          <w:bCs/>
          <w:b/>
        </w:rPr>
        <w:t xml:space="preserve">Blockchain Integration:</w:t>
      </w:r>
      <w:r>
        <w:t xml:space="preserve"> </w:t>
      </w:r>
      <w:r>
        <w:t xml:space="preserve">As China Beijing pushes for digital currency and supply chain transparency, Auditors are beginning to explore blockchain verification methods to confirm the authenticity of records without relying solely on traditional sampling.</w:t>
      </w:r>
    </w:p>
    <w:p>
      <w:pPr>
        <w:numPr>
          <w:ilvl w:val="0"/>
          <w:numId w:val="1002"/>
        </w:numPr>
        <w:pStyle w:val="Compact"/>
      </w:pPr>
      <w:r>
        <w:t xml:space="preserve">Cloud-Based Audit Workflows:</w:t>
      </w:r>
    </w:p>
    <w:bookmarkEnd w:id="23"/>
    <w:bookmarkStart w:id="24" w:name="X3ec0736d013cf10cf803a6401dfd55fa60cf14b"/>
    <w:p>
      <w:pPr>
        <w:pStyle w:val="Heading2"/>
      </w:pPr>
      <w:r>
        <w:t xml:space="preserve">Ethical Implications and Professional Standards</w:t>
      </w:r>
    </w:p>
    <w:p>
      <w:pPr>
        <w:pStyle w:val="FirstParagraph"/>
      </w:pPr>
      <w:r>
        <w:t xml:space="preserve">The intersection of technology and regulation raises profound ethical questions for the Auditor profession. In China Beijing, where state ownership plays a significant role in the economy, Auditors often face conflicts between commercial interests and public duty. This Poster Presentation academic analysis emphasizes that ethical integrity is the cornerstone of trust in financial markets.</w:t>
      </w:r>
    </w:p>
    <w:p>
      <w:pPr>
        <w:pStyle w:val="BodyText"/>
      </w:pPr>
      <w:r>
        <w:t xml:space="preserve">Professional bodies are currently updating code of conduct guidelines to address these specific regional challenges. For instance, there is a greater emphasis on whistleblower protections and mandatory rotation policies for audit partners to prevent complacency. Auditors must engage in continuous professional development (CPD) focused not only on accounting standards but also on ethics and corporate social responsibility (CSR).</w:t>
      </w:r>
    </w:p>
    <w:bookmarkEnd w:id="24"/>
    <w:bookmarkStart w:id="25" w:name="Xba2c030a139a8f1f5e5e1f6ef666796003a26c9"/>
    <w:p>
      <w:pPr>
        <w:pStyle w:val="Heading2"/>
      </w:pPr>
      <w:r>
        <w:t xml:space="preserve">Case Study: Audit Failures and Corporate Governance</w:t>
      </w:r>
    </w:p>
    <w:p>
      <w:pPr>
        <w:pStyle w:val="FirstParagraph"/>
      </w:pPr>
      <w:r>
        <w:t xml:space="preserve">This presentation cites recent high-profile cases in China Beijing where audit failures led to significant market volatility. These incidents underscore the consequences of inadequate risk assessment. For example, the collapse of certain real estate giants highlighted gaps in how Auditors evaluated off-balance-sheet financing structures common in the local market. The lessons learned from these events have prompted a shift towards more aggressive skepticism and deeper investigation into related-party transactions, which are prevalent in many Chinese corporate groups.</w:t>
      </w:r>
    </w:p>
    <w:bookmarkEnd w:id="25"/>
    <w:bookmarkStart w:id="26" w:name="Xd85e8e26199178f15aa194a77f36f42aa059c4d"/>
    <w:p>
      <w:pPr>
        <w:pStyle w:val="Heading2"/>
      </w:pPr>
      <w:r>
        <w:t xml:space="preserve">Future Outlook for Auditors in China Beijing</w:t>
      </w:r>
    </w:p>
    <w:p>
      <w:pPr>
        <w:pStyle w:val="FirstParagraph"/>
      </w:pPr>
      <w:r>
        <w:t xml:space="preserve">The future role of the Auditor in China Beijing will likely be defined by three pillars: Technological Proficiency, Regulatory Agility, and Ethical Fortitude.</w:t>
      </w:r>
    </w:p>
    <w:p>
      <w:pPr>
        <w:numPr>
          <w:ilvl w:val="0"/>
          <w:numId w:val="1003"/>
        </w:numPr>
        <w:pStyle w:val="Compact"/>
      </w:pPr>
      <w:r>
        <w:rPr>
          <w:bCs/>
          <w:b/>
        </w:rPr>
        <w:t xml:space="preserve">Predictive Auditing:</w:t>
      </w:r>
      <w:r>
        <w:t xml:space="preserve"> </w:t>
      </w:r>
      <w:r>
        <w:t xml:space="preserve">Moving beyond historical data analysis to predictive modeling that helps clients foresee financial risks before they materialize.</w:t>
      </w:r>
    </w:p>
    <w:p>
      <w:pPr>
        <w:numPr>
          <w:ilvl w:val="0"/>
          <w:numId w:val="1003"/>
        </w:numPr>
        <w:pStyle w:val="Compact"/>
      </w:pPr>
      <w:r>
        <w:rPr>
          <w:bCs/>
          <w:b/>
        </w:rPr>
        <w:t xml:space="preserve">Sustainability Assurance:</w:t>
      </w:r>
      <w:r>
        <w:t xml:space="preserve"> </w:t>
      </w:r>
      <w:r>
        <w:t xml:space="preserve">As China Beijing commits to carbon neutrality goals, there will be a surge in demand for Auditors capable of verifying Environmental, Social, and Governance (ESG) reports. This represents a new frontier for the profession.</w:t>
      </w:r>
    </w:p>
    <w:p>
      <w:pPr>
        <w:numPr>
          <w:ilvl w:val="0"/>
          <w:numId w:val="1003"/>
        </w:numPr>
        <w:pStyle w:val="Compact"/>
      </w:pPr>
      <w:r>
        <w:rPr>
          <w:bCs/>
          <w:b/>
        </w:rPr>
        <w:t xml:space="preserve">Cross-Border Harmonization:</w:t>
      </w:r>
      <w:r>
        <w:t xml:space="preserve"> </w:t>
      </w:r>
      <w:r>
        <w:t xml:space="preserve">Continued efforts to harmonize Chinese auditing standards with International Standards on Auditing will facilitate global capital flow. Auditors must act as bridges between local practices and global expectations.</w:t>
      </w:r>
    </w:p>
    <w:bookmarkEnd w:id="26"/>
    <w:bookmarkStart w:id="27" w:name="conclusion"/>
    <w:p>
      <w:pPr>
        <w:pStyle w:val="Heading2"/>
      </w:pPr>
      <w:r>
        <w:t xml:space="preserve">Conclusion</w:t>
      </w:r>
    </w:p>
    <w:p>
      <w:pPr>
        <w:pStyle w:val="FirstParagraph"/>
      </w:pPr>
      <w:r>
        <w:t xml:space="preserve">In conclusion, the position of the Auditor in China Beijing is evolving at a rapid pace. The convergence of strict regulatory enforcement and technological innovation requires a new breed of audit professional. This Poster Presentation academic document asserts that success in this domain depends on an Auditor's ability to integrate deep local knowledge with global technical standards. As China Beijing continues to assert its position as a global financial leader, the Auditor will play an indispensable role in maintaining market integrity, protecting investor confidence, and fostering sustainable economic growth.</w:t>
      </w:r>
    </w:p>
    <w:bookmarkEnd w:id="27"/>
    <w:bookmarkStart w:id="28" w:name="references"/>
    <w:p>
      <w:pPr>
        <w:pStyle w:val="Heading2"/>
      </w:pPr>
      <w:r>
        <w:t xml:space="preserve">References</w:t>
      </w:r>
    </w:p>
    <w:p>
      <w:pPr>
        <w:pStyle w:val="FirstParagraph"/>
      </w:pPr>
      <w:r>
        <w:rPr>
          <w:iCs/>
          <w:i/>
        </w:rPr>
        <w:t xml:space="preserve">Note: This is a representative list for academic context.</w:t>
      </w:r>
    </w:p>
    <w:p>
      <w:pPr>
        <w:numPr>
          <w:ilvl w:val="0"/>
          <w:numId w:val="1004"/>
        </w:numPr>
        <w:pStyle w:val="Compact"/>
      </w:pPr>
      <w:r>
        <w:t xml:space="preserve">CICPA. (2023). *Annual Report on the Development of the CPA Industry in China*. Beijing: Chinese Institute of Certified Public Accountants.</w:t>
      </w:r>
    </w:p>
    <w:p>
      <w:pPr>
        <w:numPr>
          <w:ilvl w:val="0"/>
          <w:numId w:val="1004"/>
        </w:numPr>
        <w:pStyle w:val="Compact"/>
      </w:pPr>
      <w:r>
        <w:t xml:space="preserve">Ministry of Finance PRC. (2021). *Revised Securities Law Implementation Guidelines*. Beijing: People's Government.</w:t>
      </w:r>
    </w:p>
    <w:p>
      <w:pPr>
        <w:numPr>
          <w:ilvl w:val="0"/>
          <w:numId w:val="1004"/>
        </w:numPr>
        <w:pStyle w:val="Compact"/>
      </w:pPr>
      <w:r>
        <w:t xml:space="preserve">Zhang, L., &amp; Wang, Y. (2024). "Digital Transformation in Chinese Audit Firms." *Journal of Accounting in Emerging Economies*, 14(2), 112-130.</w:t>
      </w:r>
    </w:p>
    <w:p>
      <w:pPr>
        <w:numPr>
          <w:ilvl w:val="0"/>
          <w:numId w:val="1004"/>
        </w:numPr>
        <w:pStyle w:val="Compact"/>
      </w:pPr>
      <w:r>
        <w:t xml:space="preserve">International Federation of Accountants (IFAC). (2023). *Global Audit Trends: Asia Pacific Focus*. New York: IFAC.</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Auditor in China Beijing</dc:title>
  <dc:creator/>
  <dc:language>en</dc:language>
  <cp:keywords/>
  <dcterms:created xsi:type="dcterms:W3CDTF">2026-07-29T07:56:06Z</dcterms:created>
  <dcterms:modified xsi:type="dcterms:W3CDTF">2026-07-29T07:56:06Z</dcterms:modified>
</cp:coreProperties>
</file>

<file path=docProps/custom.xml><?xml version="1.0" encoding="utf-8"?>
<Properties xmlns="http://schemas.openxmlformats.org/officeDocument/2006/custom-properties" xmlns:vt="http://schemas.openxmlformats.org/officeDocument/2006/docPropsVTypes"/>
</file>