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Berlin</w:t>
      </w:r>
    </w:p>
    <w:bookmarkStart w:id="20" w:name="X3657480377177eab205ec98aa32ec8e2b89b1c1"/>
    <w:p>
      <w:pPr>
        <w:pStyle w:val="Heading1"/>
      </w:pPr>
      <w:r>
        <w:t xml:space="preserve">The Auditor as a Guardian of Integrity: Regulatory Frameworks and Professional Standards in Germany, Berlin</w:t>
      </w:r>
    </w:p>
    <w:p>
      <w:pPr>
        <w:pStyle w:val="FirstParagraph"/>
      </w:pPr>
      <w:r>
        <w:t xml:space="preserve">&lt; h2&gt;Bridging Corporate Accountability and Public Trust</w:t>
      </w:r>
    </w:p>
    <w:p>
      <w:pPr>
        <w:pStyle w:val="BodyText"/>
      </w:pPr>
      <w:r>
        <w:t xml:space="preserve">Presented by: Academic Research Team</w:t>
      </w:r>
      <w:r>
        <w:br/>
      </w:r>
      <w:r>
        <w:t xml:space="preserve">Institution: Institute of Financial Governance</w:t>
      </w:r>
      <w:r>
        <w:br/>
      </w:r>
      <w:r>
        <w:t xml:space="preserve">Location Context: Berlin, Germany</w:t>
      </w:r>
    </w:p>
    <w:bookmarkEnd w:id="20"/>
    <w:p>
      <w:pPr>
        <w:pStyle w:val="BodyText"/>
      </w:pPr>
      <w:r>
        <w:br/>
      </w:r>
    </w:p>
    <w:bookmarkStart w:id="22" w:name="introduction"/>
    <w:bookmarkStart w:id="21" w:name="X7d3939d1cb50b011ead4b259c6cfaeceee61e46"/>
    <w:p>
      <w:pPr>
        <w:pStyle w:val="Heading3"/>
      </w:pPr>
      <w:r>
        <w:t xml:space="preserve">I. Introduction and Contextual Background</w:t>
      </w:r>
    </w:p>
    <w:p>
      <w:pPr>
        <w:pStyle w:val="FirstParagraph"/>
      </w:pPr>
      <w:r>
        <w:t xml:space="preserve">In the rapidly evolving landscape of European corporate governance, the role of the auditor has transcended traditional compliance checks to become a central pillar of economic stability and public trust. This poster presentation focuses specifically on the unique regulatory environment within Germany, with a particular emphasis on Berlin, as a hub for financial oversight and academic research. The position of an auditor in this jurisdiction is not merely that of an external examiner but serves as a critical mechanism for ensuring transparency, accuracy, and adherence to stringent legal standards.</w:t>
      </w:r>
    </w:p>
    <w:p>
      <w:pPr>
        <w:pStyle w:val="BodyText"/>
      </w:pPr>
      <w:r>
        <w:t xml:space="preserve">Berlin, as the capital city of Germany, represents a microcosm of the nation's economic diversity. It hosts headquarters for numerous DAX-listed companies, state-owned enterprises (Sondervermögen), and a vibrant ecosystem of startups requiring rigorous financial scrutiny. The auditor operating within Berlin must navigate a complex interplay between international reporting standards (such as IFRS) and local German Commercial Code (Handelsgesetzbuch - HGB) requirements. This document outlines the multifaceted responsibilities, ethical obligations, and strategic importance of the auditor in maintaining financial integrity within this specific geographic and regulatory context.</w:t>
      </w:r>
    </w:p>
    <w:p>
      <w:pPr>
        <w:pStyle w:val="BodyText"/>
      </w:pPr>
      <w:r>
        <w:t xml:space="preserve">The significance of this study is underscored by recent legislative reforms aimed at strengthening audit quality following global financial crises. In Berlin, where public scrutiny on corporate behavior is high due to the city's political prominence, auditors face heightened expectations regarding their independence and objectivity. This presentation aims to elucidate how auditors function as essential agents of accountability in this dynamic environment.</w:t>
      </w:r>
    </w:p>
    <w:bookmarkEnd w:id="21"/>
    <w:bookmarkEnd w:id="22"/>
    <w:bookmarkStart w:id="27" w:name="regulatory-framework"/>
    <w:bookmarkStart w:id="26" w:name="ii.-the-regulatory-landscape-in-germany"/>
    <w:p>
      <w:pPr>
        <w:pStyle w:val="Heading3"/>
      </w:pPr>
      <w:r>
        <w:t xml:space="preserve">II. The Regulatory Landscape in Germany</w:t>
      </w:r>
    </w:p>
    <w:p>
      <w:pPr>
        <w:pStyle w:val="FirstParagraph"/>
      </w:pPr>
      <w:r>
        <w:t xml:space="preserve">The professional practice of auditing in Germany is governed by a robust legal framework designed to protect stakeholders, including shareholders, creditors, and the general public. Key regulatory bodies include the Wirtschaftsprüferkammer (WPK), or Public Audit Institute of Germany, which oversees the licensing and continuing education of auditors. In Berlin, local branches of these institutions play a pivotal role in enforcing ethical codes and disciplinary measures.</w:t>
      </w:r>
    </w:p>
    <w:bookmarkStart w:id="23" w:name="a.-the-german-commercial-code-hgb"/>
    <w:p>
      <w:pPr>
        <w:pStyle w:val="Heading4"/>
      </w:pPr>
      <w:r>
        <w:t xml:space="preserve">A. The German Commercial Code (HGB)</w:t>
      </w:r>
    </w:p>
    <w:p>
      <w:pPr>
        <w:pStyle w:val="FirstParagraph"/>
      </w:pPr>
      <w:r>
        <w:t xml:space="preserve">The HGB serves as the primary legislative basis for auditing obligations. Section 317 HGB explicitly defines the duties of the auditor, mandating that audits must be conducted with due professional care and in accordance with generally accepted accounting principles recognized in Germany. Auditors are required to form an opinion on whether the financial statements give a true and fair view of the company's assets, liabilities, financial position, and profit or loss.</w:t>
      </w:r>
    </w:p>
    <w:bookmarkEnd w:id="23"/>
    <w:bookmarkStart w:id="24" w:name="Xe3bd6a39a034e848ca8f393f93edde10bfca1b9"/>
    <w:p>
      <w:pPr>
        <w:pStyle w:val="Heading4"/>
      </w:pPr>
      <w:r>
        <w:t xml:space="preserve">B. Stock Corporation Act (Aktiengesetz - AktG)</w:t>
      </w:r>
    </w:p>
    <w:p>
      <w:pPr>
        <w:pStyle w:val="FirstParagraph"/>
      </w:pPr>
      <w:r>
        <w:t xml:space="preserve">For larger corporations listed on stock exchanges, particularly those headquartered in Berlin such as Deutsche Börse AG or various media conglomerates, the AktG imposes additional auditing requirements. These include mandatory rotation of audit firms and stricter independence rules to prevent conflicts of interest. The auditor must also report any suspected illegal acts to the audit committee and supervisory board.</w:t>
      </w:r>
    </w:p>
    <w:bookmarkEnd w:id="24"/>
    <w:bookmarkStart w:id="25" w:name="c.-international-standards"/>
    <w:p>
      <w:pPr>
        <w:pStyle w:val="Heading4"/>
      </w:pPr>
      <w:r>
        <w:t xml:space="preserve">C. International Standards</w:t>
      </w:r>
    </w:p>
    <w:p>
      <w:pPr>
        <w:pStyle w:val="FirstParagraph"/>
      </w:pPr>
      <w:r>
        <w:t xml:space="preserve">Given Berlin's integration into the global economy, auditors must also comply with International Standards on Auditing (ISA), as adopted by the EU. This dual compliance requirement ensures that German auditors maintain a standard of quality that is recognizable and trusted internationally, facilitating cross-border investment and economic cooperation.</w:t>
      </w:r>
    </w:p>
    <w:bookmarkEnd w:id="25"/>
    <w:bookmarkEnd w:id="26"/>
    <w:bookmarkEnd w:id="27"/>
    <w:bookmarkStart w:id="29" w:name="responsibilities"/>
    <w:bookmarkStart w:id="28" w:name="X88804356e9707bafa6582d39dccdb3f690d6be8"/>
    <w:p>
      <w:pPr>
        <w:pStyle w:val="Heading3"/>
      </w:pPr>
      <w:r>
        <w:t xml:space="preserve">III. Core Responsibilities and Strategic Functions</w:t>
      </w:r>
    </w:p>
    <w:p>
      <w:pPr>
        <w:pStyle w:val="FirstParagraph"/>
      </w:pPr>
      <w:r>
        <w:t xml:space="preserve">The modern auditor in Berlin performs a range of functions that extend beyond the issuance of an audit report. These responsibilities are critical for the sustainable operation of businesses and the stability of financial markets.</w:t>
      </w:r>
    </w:p>
    <w:p>
      <w:pPr>
        <w:numPr>
          <w:ilvl w:val="0"/>
          <w:numId w:val="1001"/>
        </w:numPr>
        <w:pStyle w:val="Compact"/>
      </w:pPr>
      <w:r>
        <w:rPr>
          <w:bCs/>
          <w:b/>
        </w:rPr>
        <w:t xml:space="preserve">Risk Assessment and Internal Controls:</w:t>
      </w:r>
      <w:r>
        <w:t xml:space="preserve"> </w:t>
      </w:r>
      <w:r>
        <w:t xml:space="preserve">Auditors must evaluate the internal control systems (ICS) established by management. In Berlin's tech-heavy sector, this often involves assessing cybersecurity risks related to financial data. The auditor identifies potential weaknesses in processes that could lead to fraud or material misstatement.</w:t>
      </w:r>
    </w:p>
    <w:p>
      <w:pPr>
        <w:numPr>
          <w:ilvl w:val="0"/>
          <w:numId w:val="1001"/>
        </w:numPr>
        <w:pStyle w:val="Compact"/>
      </w:pPr>
      <w:r>
        <w:rPr>
          <w:bCs/>
          <w:b/>
        </w:rPr>
        <w:t xml:space="preserve">Substantive Testing:</w:t>
      </w:r>
      <w:r>
        <w:t xml:space="preserve"> </w:t>
      </w:r>
      <w:r>
        <w:t xml:space="preserve">Through detailed examination of accounting records, confirmations from third parties, and physical inventory counts, auditors verify the existence and valuation of assets. This rigorous testing is essential for validating the accuracy reported in financial statements.</w:t>
      </w:r>
    </w:p>
    <w:p>
      <w:pPr>
        <w:numPr>
          <w:ilvl w:val="0"/>
          <w:numId w:val="1001"/>
        </w:numPr>
        <w:pStyle w:val="Compact"/>
      </w:pPr>
      <w:r>
        <w:t xml:space="preserve">Talking to Management and Governance:Auditors engage in continuous dialogue with both management and the supervisory board (Aufsichtsrat). This communication channel allows auditors to highlight significant findings, discuss accounting judgments, and advise on improvements to reporting practices. In many German companies, the supervisory board appoints the auditor directly,</w:t>
      </w:r>
    </w:p>
    <w:p>
      <w:pPr>
        <w:numPr>
          <w:ilvl w:val="0"/>
          <w:numId w:val="1000"/>
        </w:numPr>
        <w:pStyle w:val="Compact"/>
      </w:pPr>
      <w:r>
        <w:t xml:space="preserve">making this relationship crucial for maintaining independence.</w:t>
      </w:r>
    </w:p>
    <w:p>
      <w:pPr>
        <w:numPr>
          <w:ilvl w:val="0"/>
          <w:numId w:val="1001"/>
        </w:numPr>
        <w:pStyle w:val="Compact"/>
      </w:pPr>
      <w:r>
        <w:t xml:space="preserve">Sustainability Reporting Assurance:Increasinglyauditors are tasked with verifying non-financial disclosures such as Environmental, Social, and Governance (ESG) metrics. As Berlin positions itself as a leader in sustainable urban development, auditors play a vital role in combating greenwashing by ensuring the credibility of sustainability claims.</w:t>
      </w:r>
    </w:p>
    <w:bookmarkEnd w:id="28"/>
    <w:bookmarkEnd w:id="29"/>
    <w:bookmarkStart w:id="31" w:name="ethics"/>
    <w:bookmarkStart w:id="30" w:name="iv.-ethical-standards-and-independence"/>
    <w:p>
      <w:pPr>
        <w:pStyle w:val="Heading3"/>
      </w:pPr>
      <w:r>
        <w:t xml:space="preserve">IV. Ethical Standards and Independence</w:t>
      </w:r>
    </w:p>
    <w:p>
      <w:pPr>
        <w:pStyle w:val="FirstParagraph"/>
      </w:pPr>
      <w:r>
        <w:t xml:space="preserve">Independence is the cornerstone of the auditing profession. Auditors must be free from any biases, conflicts of interest, or undue influences that could compromise their professional judgment. The WPK enforces strict ethical guidelines based on the International Ethics Standards Board for Accountants (IESBA) Code.</w:t>
      </w:r>
    </w:p>
    <w:p>
      <w:pPr>
        <w:pStyle w:val="BodyText"/>
      </w:pPr>
      <w:r>
        <w:t xml:space="preserve">In Berlin's close-knit business community, maintaining independence can sometimes present challenges due to long-standing relationships between audit firms and clients. To mitigate these risks, mandatory audit firm rotation policies are enforced. Furthermore, auditors must disclose any financial or personal relationships that could impair their objectivity. Professional skepticism is required throughout the engagement process; auditors must critically assess audit evidence and not take management assertions at face value without sufficient corroborating proof.</w:t>
      </w:r>
    </w:p>
    <w:p>
      <w:pPr>
        <w:pStyle w:val="BodyText"/>
      </w:pPr>
      <w:r>
        <w:t xml:space="preserve">The ethical conduct of auders also involves maintaining confidentiality of client information while being willing to report illegal activities when required by law. This balance protects both the integrity of the financial system and the rights of individuals involved.</w:t>
      </w:r>
    </w:p>
    <w:bookmarkEnd w:id="30"/>
    <w:bookmarkEnd w:id="31"/>
    <w:bookmarkStart w:id="33" w:name="conclusion"/>
    <w:bookmarkStart w:id="32" w:name="v.-conclusion-and-future-outlook"/>
    <w:p>
      <w:pPr>
        <w:pStyle w:val="Heading3"/>
      </w:pPr>
      <w:r>
        <w:t xml:space="preserve">V. Conclusion and Future Outlook</w:t>
      </w:r>
    </w:p>
    <w:p>
      <w:pPr>
        <w:pStyle w:val="FirstParagraph"/>
      </w:pPr>
      <w:r>
        <w:t xml:space="preserve">The role of the auditor in Germany, particularly within Berlin, is indispensable for fostering trust in capital markets and ensuring corporate accountability. By adhering to rigorous legal frameworks such as HGB and AktG, auditors provide assurance that financial information is reliable and transparent.</w:t>
      </w:r>
    </w:p>
    <w:p>
      <w:pPr>
        <w:pStyle w:val="BodyText"/>
      </w:pPr>
      <w:r>
        <w:t xml:space="preserve">Looking ahead,the demand for auditors with specialized skills in digital forensics, data analytics, ESG reporting, and cybersecurity will continue to grow. As Berlin evolves into a global startup hub and a center for sustainable finance,the auditor must adapt by leveraging technology to enhance audit efficiency and depth.</w:t>
      </w:r>
    </w:p>
    <w:p>
      <w:pPr>
        <w:pStyle w:val="BodyText"/>
      </w:pPr>
      <w:r>
        <w:t xml:space="preserve">This presentation underscores that the auditor is not just a gatekeeper of compliance but also a strategic advisor who contributes to the long-term viability and ethical standing of organizations. Strengthening the professional capacity of auditors in Berlin is essential for maintaining Germany's reputation as a stable and transparent economic powerhouse within Europe.</w:t>
      </w:r>
    </w:p>
    <w:bookmarkEnd w:id="32"/>
    <w:bookmarkEnd w:id="33"/>
    <w:bookmarkStart w:id="34" w:name="vii.-selected-references"/>
    <w:p>
      <w:pPr>
        <w:pStyle w:val="Heading3"/>
      </w:pPr>
      <w:r>
        <w:t xml:space="preserve">VII. Selected References</w:t>
      </w:r>
    </w:p>
    <w:p>
      <w:pPr>
        <w:numPr>
          <w:ilvl w:val="0"/>
          <w:numId w:val="1002"/>
        </w:numPr>
        <w:pStyle w:val="Compact"/>
      </w:pPr>
      <w:r>
        <w:t xml:space="preserve">Bundesministerium der Justiz. (2021). Handelsgesetzbuch (HGB).</w:t>
      </w:r>
    </w:p>
    <w:p>
      <w:pPr>
        <w:numPr>
          <w:ilvl w:val="0"/>
          <w:numId w:val="1002"/>
        </w:numPr>
        <w:pStyle w:val="Compact"/>
      </w:pPr>
      <w:r>
        <w:t xml:space="preserve">Deutscher Bundestag.</w:t>
      </w:r>
    </w:p>
    <w:p>
      <w:pPr>
        <w:numPr>
          <w:ilvl w:val="0"/>
          <w:numId w:val="1000"/>
        </w:numPr>
        <w:pStyle w:val="Compact"/>
      </w:pPr>
      <w:r>
        <w:t xml:space="preserve">(2015). Aktiengesetz (AktG).</w:t>
      </w:r>
    </w:p>
    <w:p>
      <w:pPr>
        <w:numPr>
          <w:ilvl w:val="0"/>
          <w:numId w:val="1002"/>
        </w:numPr>
        <w:pStyle w:val="Compact"/>
      </w:pPr>
      <w:r>
        <w:t xml:space="preserve">Wirtschaftsprüferkammer. (n.d.). Standards der Wirtschaftsprüfung in Deutschland.</w:t>
      </w:r>
    </w:p>
    <w:p>
      <w:pPr>
        <w:numPr>
          <w:ilvl w:val="0"/>
          <w:numId w:val="1002"/>
        </w:numPr>
        <w:pStyle w:val="Compact"/>
      </w:pPr>
      <w:r>
        <w:t xml:space="preserve">Federal Ministry of Finance. (2020). Report on the Implementation of the Audit Regulation.</w:t>
      </w:r>
    </w:p>
    <w:p>
      <w:pPr>
        <w:numPr>
          <w:ilvl w:val="0"/>
          <w:numId w:val="1002"/>
        </w:numPr>
        <w:pStyle w:val="Compact"/>
      </w:pPr>
      <w:r>
        <w:t xml:space="preserve">KPMG, PwC, EY, Deloitte. (Annual Reports on German Audit Market Trends).</w:t>
      </w:r>
    </w:p>
    <w:p>
      <w:pPr>
        <w:pStyle w:val="FirstParagraph"/>
      </w:pPr>
      <w:r>
        <w:t xml:space="preserve">© 2023 Academic Poster Presentation Series. All Rights Reserved.</w:t>
      </w:r>
      <w:r>
        <w:br/>
      </w:r>
      <w:r>
        <w:t xml:space="preserve">Presented in Berlin, Germany.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Auditor in Germany Berlin</dc:title>
  <dc:creator/>
  <dc:language>en</dc:language>
  <cp:keywords/>
  <dcterms:created xsi:type="dcterms:W3CDTF">2026-07-29T05:44:47Z</dcterms:created>
  <dcterms:modified xsi:type="dcterms:W3CDTF">2026-07-29T05:44:47Z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