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Auditor</w:t>
      </w:r>
      <w:r>
        <w:t xml:space="preserve"> </w:t>
      </w:r>
      <w:r>
        <w:t xml:space="preserve">in</w:t>
      </w:r>
      <w:r>
        <w:t xml:space="preserve"> </w:t>
      </w:r>
      <w:r>
        <w:t xml:space="preserve">Indonesia</w:t>
      </w:r>
      <w:r>
        <w:t xml:space="preserve"> </w:t>
      </w:r>
      <w:r>
        <w:t xml:space="preserve">Jakarta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Poster Presentation: The Evolving Role of the Auditor in Indonesia Jakarta</dc:title>
  <dc:creator/>
  <dc:language>en</dc:language>
  <cp:keywords/>
  <dcterms:created xsi:type="dcterms:W3CDTF">2026-09-27T07:43:37Z</dcterms:created>
  <dcterms:modified xsi:type="dcterms:W3CDTF">2026-09-27T07:43:37Z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