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Poster</w:t>
      </w:r>
      <w:r>
        <w:t xml:space="preserve"> </w:t>
      </w:r>
      <w:r>
        <w:t xml:space="preserve">Presentation:</w:t>
      </w:r>
      <w:r>
        <w:t xml:space="preserve"> </w:t>
      </w:r>
      <w:r>
        <w:t xml:space="preserve">Kuwait</w:t>
      </w:r>
      <w:r>
        <w:t xml:space="preserve"> </w:t>
      </w:r>
      <w:r>
        <w:t xml:space="preserve">City</w:t>
      </w:r>
      <w:r>
        <w:t xml:space="preserve"> </w:t>
      </w:r>
      <w:r>
        <w:t xml:space="preserve">Context</w:t>
      </w:r>
    </w:p>
    <w:bookmarkStart w:id="22" w:name="X1c38d9ba8960cfc4a372165672ff6352bb39942"/>
    <w:p>
      <w:pPr>
        <w:pStyle w:val="Heading1"/>
      </w:pPr>
      <w:r>
        <w:t xml:space="preserve">The Strategic Role of the Auditor in Kuwait City: Navigating Regulatory Evolution and Corporate Governance</w:t>
      </w:r>
    </w:p>
    <w:p>
      <w:pPr>
        <w:pStyle w:val="FirstParagraph"/>
      </w:pPr>
      <w:r>
        <w:rPr>
          <w:bCs/>
          <w:b/>
        </w:rPr>
        <w:t xml:space="preserve">Presented by:</w:t>
      </w:r>
      <w:r>
        <w:br/>
      </w:r>
      <w:r>
        <w:t xml:space="preserve">Academic Research Team</w:t>
      </w:r>
      <w:r>
        <w:br/>
      </w:r>
      <w:r>
        <w:t xml:space="preserve">Department of Accounting &amp; Finance</w:t>
      </w:r>
      <w:r>
        <w:br/>
      </w:r>
      <w:r>
        <w:t xml:space="preserve">Conference on Financial Integrity in the Gulf Region</w:t>
      </w:r>
      <w:r>
        <w:br/>
      </w:r>
      <w:r>
        <w:t xml:space="preserve">Kuwait City, State of Kuwait</w:t>
      </w:r>
      <w:r>
        <w:br/>
      </w:r>
      <w:r>
        <w:br/>
      </w:r>
    </w:p>
    <w:p>
      <w:pPr>
        <w:pStyle w:val="BodyText"/>
      </w:pPr>
      <w:r>
        <w:t xml:space="preserve">1. Introduction</w:t>
      </w:r>
    </w:p>
    <w:p>
      <w:pPr>
        <w:pStyle w:val="BodyText"/>
      </w:pPr>
      <w:r>
        <w:t xml:space="preserve">The role of the professional</w:t>
      </w:r>
      <w:r>
        <w:t xml:space="preserve"> </w:t>
      </w:r>
      <w:r>
        <w:rPr>
          <w:bCs/>
          <w:b/>
        </w:rPr>
        <w:t xml:space="preserve">Auditor</w:t>
      </w:r>
      <w:r>
        <w:t xml:space="preserve"> </w:t>
      </w:r>
      <w:r>
        <w:t xml:space="preserve">has transcended its traditional function of mere compliance checking to become a cornerstone of economic stability and transparency within modern financial ecosystems. In the specific context of</w:t>
      </w:r>
      <w:r>
        <w:t xml:space="preserve"> </w:t>
      </w:r>
      <w:r>
        <w:rPr>
          <w:bCs/>
          <w:b/>
        </w:rPr>
        <w:t xml:space="preserve">Kuwait City</w:t>
      </w:r>
      <w:r>
        <w:t xml:space="preserve">, the capital and financial hub, this evolution is particularly pronounced. As Kuwait strives to diversify its economy beyond oil revenues, adhering to international accounting standards and maintaining robust internal controls has become imperative for attracting foreign direct investment (FDI) and ensuring market confidence.</w:t>
      </w:r>
    </w:p>
    <w:p>
      <w:pPr>
        <w:pStyle w:val="BodyText"/>
      </w:pPr>
      <w:r>
        <w:t xml:space="preserve">This poster presents an analysis of how the</w:t>
      </w:r>
      <w:r>
        <w:t xml:space="preserve"> </w:t>
      </w:r>
      <w:r>
        <w:rPr>
          <w:bCs/>
          <w:b/>
        </w:rPr>
        <w:t xml:space="preserve">Auditor</w:t>
      </w:r>
      <w:r>
        <w:t xml:space="preserve"> </w:t>
      </w:r>
      <w:r>
        <w:t xml:space="preserve">serves as a critical agent of corporate governance in Kuwait City. It explores the intersection between local regulatory frameworks, such as those enforced by the Capital Markets Authority (CMA), and international best practices. The discussion highlights why understanding the local nuances of auditing in</w:t>
      </w:r>
      <w:r>
        <w:t xml:space="preserve"> </w:t>
      </w:r>
      <w:r>
        <w:rPr>
          <w:bCs/>
          <w:b/>
        </w:rPr>
        <w:t xml:space="preserve">Kuwait City</w:t>
      </w:r>
      <w:r>
        <w:t xml:space="preserve"> </w:t>
      </w:r>
      <w:r>
        <w:t xml:space="preserve">is essential for stakeholders ranging from multinational corporations to local family-owned conglomerates.</w:t>
      </w:r>
    </w:p>
    <w:bookmarkStart w:id="20" w:name="regulatory-framework-in-kuwait-city"/>
    <w:p>
      <w:pPr>
        <w:pStyle w:val="Heading2"/>
      </w:pPr>
      <w:r>
        <w:t xml:space="preserve">2. Regulatory Framework in Kuwait City</w:t>
      </w:r>
    </w:p>
    <w:p>
      <w:pPr>
        <w:pStyle w:val="FirstParagraph"/>
      </w:pPr>
      <w:r>
        <w:t xml:space="preserve">The landscape for the</w:t>
      </w:r>
      <w:r>
        <w:t xml:space="preserve"> </w:t>
      </w:r>
      <w:r>
        <w:rPr>
          <w:bCs/>
          <w:b/>
        </w:rPr>
        <w:t xml:space="preserve">Auditor</w:t>
      </w:r>
      <w:r>
        <w:t xml:space="preserve"> </w:t>
      </w:r>
      <w:r>
        <w:t xml:space="preserve">operating in Kuwait City is defined by a complex interplay of national laws and international standards. The primary regulatory bodies include:</w:t>
      </w:r>
    </w:p>
    <w:p>
      <w:pPr>
        <w:pStyle w:val="BodyText"/>
      </w:pPr>
      <w:r>
        <w:rPr>
          <w:bCs/>
          <w:b/>
        </w:rPr>
        <w:t xml:space="preserve">The Capital Markets Authority (CMA):</w:t>
      </w:r>
      <w:r>
        <w:t xml:space="preserve"> </w:t>
      </w:r>
      <w:r>
        <w:t xml:space="preserve">Heavily regulates listed companies on the Boursa Kuwait, requiring rigorous external audits.</w:t>
      </w:r>
    </w:p>
    <w:p>
      <w:pPr>
        <w:pStyle w:val="BodyText"/>
      </w:pPr>
      <w:r>
        <w:rPr>
          <w:bCs/>
          <w:b/>
        </w:rPr>
        <w:t xml:space="preserve">The Ministry of Commerce and Industry:</w:t>
      </w:r>
      <w:r>
        <w:t xml:space="preserve"> </w:t>
      </w:r>
      <w:r>
        <w:t xml:space="preserve">Oversees general corporate registration and compliance for private sector entities.</w:t>
      </w:r>
    </w:p>
    <w:p>
      <w:pPr>
        <w:pStyle w:val="BodyText"/>
      </w:pPr>
      <w:r>
        <w:rPr>
          <w:bCs/>
          <w:b/>
        </w:rPr>
        <w:t xml:space="preserve">Kuwait Financial Centre (Markaz):</w:t>
      </w:r>
      <w:r>
        <w:t xml:space="preserve"> </w:t>
      </w:r>
      <w:r>
        <w:t xml:space="preserve">Provides guidance on Sharia-compliant auditing standards which are crucial given the significant Islamic finance presence in Kuwait City.</w:t>
      </w:r>
    </w:p>
    <w:p>
      <w:pPr>
        <w:pStyle w:val="BodyText"/>
      </w:pPr>
      <w:r>
        <w:t xml:space="preserve">The adoption of International Financial Reporting Standards (IFRS) has aligned many Kuwaiti entities with global norms, yet local adaptations remain. For the</w:t>
      </w:r>
      <w:r>
        <w:t xml:space="preserve"> </w:t>
      </w:r>
      <w:r>
        <w:rPr>
          <w:bCs/>
          <w:b/>
        </w:rPr>
        <w:t xml:space="preserve">Auditor</w:t>
      </w:r>
      <w:r>
        <w:t xml:space="preserve">, this necessitates a dual competency: mastery of IFRS and a deep understanding of Kuwaiti Commercial Companies Law.</w:t>
      </w:r>
    </w:p>
    <w:p>
      <w:pPr>
        <w:pStyle w:val="BodyText"/>
      </w:pPr>
      <w:r>
        <w:t xml:space="preserve">3. The Evolution of the Auditor's Role</w:t>
      </w:r>
    </w:p>
    <w:p>
      <w:pPr>
        <w:pStyle w:val="BodyText"/>
      </w:pPr>
      <w:r>
        <w:t xml:space="preserve">Historically, auditing in Kuwait was viewed largely as a retrospective verification process. However, contemporary demands in Kuwait City have shifted this paradigm. Modern Auditors are now expected to provide forward-looking insights, risk management assessments, and strategic advisory services.</w:t>
      </w:r>
    </w:p>
    <w:p>
      <w:pPr>
        <w:pStyle w:val="BodyText"/>
      </w:pPr>
      <w:r>
        <w:rPr>
          <w:bCs/>
          <w:b/>
        </w:rPr>
        <w:t xml:space="preserve">Key Shift:</w:t>
      </w:r>
      <w:r>
        <w:br/>
      </w:r>
    </w:p>
    <w:bookmarkEnd w:id="20"/>
    <w:bookmarkStart w:id="21" w:name="Xc5bbfcc250fb2a4b7e3f15e9bf07619827dcb6c"/>
    <w:p>
      <w:pPr>
        <w:pStyle w:val="Heading2"/>
      </w:pPr>
      <w:r>
        <w:t xml:space="preserve">4. Challenges Facing Auditors in Kuwait City</w:t>
      </w:r>
    </w:p>
    <w:p>
      <w:pPr>
        <w:pStyle w:val="FirstParagraph"/>
      </w:pPr>
      <w:r>
        <w:t xml:space="preserve">Despite progress, significant challenges persist for the professional</w:t>
      </w:r>
      <w:r>
        <w:t xml:space="preserve"> </w:t>
      </w:r>
      <w:r>
        <w:rPr>
          <w:bCs/>
          <w:b/>
        </w:rPr>
        <w:t xml:space="preserve">Auditor</w:t>
      </w:r>
      <w:r>
        <w:t xml:space="preserve"> </w:t>
      </w:r>
      <w:r>
        <w:t xml:space="preserve">practicing in Kuwait City. These include:</w:t>
      </w:r>
    </w:p>
    <w:p>
      <w:pPr>
        <w:pStyle w:val="BodyText"/>
      </w:pPr>
      <w:r>
        <w:rPr>
          <w:bCs/>
          <w:b/>
        </w:rPr>
        <w:t xml:space="preserve">Cultural Nuances:</w:t>
      </w:r>
      <w:r>
        <w:br/>
      </w:r>
      <w:r>
        <w:t xml:space="preserve">The relationship between auditors and client management can be influenced by traditional business hierarchies common in the region. Asserting independence while maintaining strong client relationships requires high emotional intelligence and professional firmness.</w:t>
      </w:r>
    </w:p>
    <w:p>
      <w:pPr>
        <w:pStyle w:val="BodyText"/>
      </w:pPr>
      <w:r>
        <w:rPr>
          <w:bCs/>
          <w:b/>
        </w:rPr>
        <w:t xml:space="preserve">Digital Transformation:</w:t>
      </w:r>
      <w:r>
        <w:br/>
      </w:r>
      <w:r>
        <w:t xml:space="preserve">Kuwait City is rapidly digitizing its financial infrastructure. Auditors must adapt to emerging technologies such as blockchain and AI-driven forensic auditing tools. There is a skills gap in the local workforce regarding these advanced technical competencies.</w:t>
      </w:r>
    </w:p>
    <w:p>
      <w:pPr>
        <w:pStyle w:val="BodyText"/>
      </w:pPr>
      <w:r>
        <w:rPr>
          <w:bCs/>
          <w:b/>
        </w:rPr>
        <w:t xml:space="preserve">Regulatory Pressure:</w:t>
      </w:r>
      <w:r>
        <w:br/>
      </w:r>
      <w:r>
        <w:t xml:space="preserve">As Kuwait City positions itself as a regional financial hub, regulatory scrutiny has intensified. Auditors face increased liability for audit failures, leading to higher insurance costs and more rigorous quality control requirements.</w:t>
      </w:r>
    </w:p>
    <w:p>
      <w:pPr>
        <w:pStyle w:val="BodyText"/>
      </w:pPr>
      <w:r>
        <w:t xml:space="preserve">5. Impact of Corporate Governance</w:t>
      </w:r>
    </w:p>
    <w:p>
      <w:pPr>
        <w:pStyle w:val="BodyText"/>
      </w:pPr>
      <w:r>
        <w:t xml:space="preserve">The efficacy of the</w:t>
      </w:r>
      <w:r>
        <w:t xml:space="preserve"> </w:t>
      </w:r>
      <w:r>
        <w:rPr>
          <w:bCs/>
          <w:b/>
        </w:rPr>
        <w:t xml:space="preserve">Auditor</w:t>
      </w:r>
      <w:r>
        <w:t xml:space="preserve"> </w:t>
      </w:r>
      <w:r>
        <w:t xml:space="preserve">is directly linked to the strength of corporate governance structures within Kuwait City companies. Strong boards are essential for supporting audit functions. Research indicates that companies in Kuwait City with independent audit committees experience fewer irregularities and higher investor trust.</w:t>
      </w:r>
    </w:p>
    <w:p>
      <w:pPr>
        <w:pStyle w:val="BodyText"/>
      </w:pPr>
      <w:r>
        <w:t xml:space="preserve">Governance Factor</w:t>
      </w:r>
    </w:p>
    <w:bookmarkEnd w:id="21"/>
    <w:bookmarkEnd w:id="22"/>
    <w:p>
      <w:pPr>
        <w:pStyle w:val="BodyText"/>
      </w:pPr>
      <w:r>
        <w:t xml:space="preserve">Impact on Audit Quality</w:t>
      </w:r>
    </w:p>
    <w:p>
      <w:pPr>
        <w:pStyle w:val="BodyText"/>
      </w:pPr>
      <w:r>
        <w:t xml:space="preserve">Audit Committee Independence</w:t>
      </w:r>
    </w:p>
    <w:p>
      <w:pPr>
        <w:pStyle w:val="BodyText"/>
      </w:pPr>
      <w:r>
        <w:t xml:space="preserve">High Positive Correlation with transparency.</w:t>
      </w:r>
    </w:p>
    <w:p>
      <w:pPr>
        <w:pStyle w:val="BodyText"/>
      </w:pPr>
      <w:r>
        <w:t xml:space="preserve">td&gt;</w:t>
      </w:r>
    </w:p>
    <w:p>
      <w:pPr>
        <w:pStyle w:val="BodyText"/>
      </w:pPr>
      <w:r>
        <w:t xml:space="preserve">Auditor Tenure</w:t>
      </w:r>
    </w:p>
    <w:p>
      <w:pPr>
        <w:pStyle w:val="BodyText"/>
      </w:pPr>
      <w:r>
        <w:t xml:space="preserve">Optimal tenure balances knowledge vs. independence. Long tenure in Kuwait City requires rotation to prevent familiarity threats.</w:t>
      </w:r>
    </w:p>
    <w:p>
      <w:pPr>
        <w:pStyle w:val="BodyText"/>
      </w:pPr>
      <w:r>
        <w:t xml:space="preserve">td&gt;</w:t>
      </w:r>
    </w:p>
    <w:p>
      <w:pPr>
        <w:pStyle w:val="BodyText"/>
      </w:pPr>
      <w:r>
        <w:t xml:space="preserve">Burnout Rate of Auditors</w:t>
      </w:r>
    </w:p>
    <w:p>
      <w:pPr>
        <w:pStyle w:val="BodyText"/>
      </w:pPr>
      <w:r>
        <w:t xml:space="preserve">th&gt;</w:t>
      </w:r>
    </w:p>
    <w:p>
      <w:pPr>
        <w:pStyle w:val="BodyText"/>
      </w:pPr>
      <w:r>
        <w:t xml:space="preserve">High workload in large Kuwait City firms impacts attention to detail.</w:t>
      </w:r>
    </w:p>
    <w:p>
      <w:pPr>
        <w:pStyle w:val="BodyText"/>
      </w:pPr>
      <w:r>
        <w:t xml:space="preserve">6. Sharia Compliance and Islamic Finance</w:t>
      </w:r>
    </w:p>
    <w:p>
      <w:pPr>
        <w:pStyle w:val="BodyText"/>
      </w:pPr>
      <w:r>
        <w:t xml:space="preserve">A unique aspect of the auditing landscape in Kuwait City is the prevalence of Sharia-compliant finance. The Auditor must not only verify financial accuracy but also ensure that transactions adhere to Islamic principles (e.g., prohibition of Riba/interest, Gharar/excessive uncertainty).</w:t>
      </w:r>
    </w:p>
    <w:p>
      <w:pPr>
        <w:pStyle w:val="BodyText"/>
      </w:pPr>
      <w:r>
        <w:t xml:space="preserve">This requires specialized knowledge often provided by Sharia Supervisory Boards. However, the Auditor acts as the final gatekeeper, verifying that these religious rulings are correctly reflected in financial statements. This dual-layer verification process adds complexity and value to the role of the Auditor in Kuwait City.</w:t>
      </w:r>
    </w:p>
    <w:bookmarkStart w:id="23" w:name="Xe4832a9ca06e419a668264a3523ba0b39411399"/>
    <w:p>
      <w:pPr>
        <w:pStyle w:val="Heading2"/>
      </w:pPr>
      <w:r>
        <w:t xml:space="preserve">7. Case Study: Financial Sector Transformation</w:t>
      </w:r>
    </w:p>
    <w:p>
      <w:pPr>
        <w:pStyle w:val="FirstParagraph"/>
      </w:pPr>
      <w:r>
        <w:t xml:space="preserve">An examination of major banking institutions in Kuwait City reveals how rigorous auditing practices have mitigated risk during global financial volatility. For instance, post-2008 and during the recent pandemic disruptions, auditors played a pivotal role in stress-testing banks and ensuring liquidity reports were accurate.</w:t>
      </w:r>
    </w:p>
    <w:p>
      <w:pPr>
        <w:pStyle w:val="BodyText"/>
      </w:pPr>
      <w:r>
        <w:t xml:space="preserve">Local firms that invested heavily in upgrading their audit methodologies saw improved credit ratings and greater access to international capital markets. This demonstrates that high-quality auditing is not just a compliance cost but a strategic asset for companies based in Kuwait City.</w:t>
      </w:r>
    </w:p>
    <w:p>
      <w:pPr>
        <w:pStyle w:val="BodyText"/>
      </w:pPr>
      <w:r>
        <w:t xml:space="preserve">8. Recommendations for Stakeholders</w:t>
      </w:r>
    </w:p>
    <w:p>
      <w:pPr>
        <w:pStyle w:val="BodyText"/>
      </w:pPr>
      <w:r>
        <w:t xml:space="preserve">To enhance the effectiveness of the Auditor in Kuwait City, we propose the following:</w:t>
      </w:r>
    </w:p>
    <w:p>
      <w:pPr>
        <w:pStyle w:val="BodyText"/>
      </w:pPr>
      <w:r>
        <w:rPr>
          <w:bCs/>
          <w:b/>
        </w:rPr>
        <w:t xml:space="preserve">Enhanced Training Programs:</w:t>
      </w:r>
      <w:r>
        <w:br/>
      </w:r>
      <w:r>
        <w:t xml:space="preserve">Universities and professional bodies in Kuwait must collaborate to offer specialized courses on digital auditing tools and Sharia compliance.</w:t>
      </w:r>
    </w:p>
    <w:p>
      <w:pPr>
        <w:pStyle w:val="BodyText"/>
      </w:pPr>
      <w:r>
        <w:t xml:space="preserve">Tech Integration:</w:t>
      </w:r>
    </w:p>
    <w:bookmarkEnd w:id="23"/>
    <w:p>
      <w:pPr>
        <w:pStyle w:val="BodyText"/>
      </w:pPr>
      <w:r>
        <w:br/>
      </w:r>
      <w:r>
        <w:t xml:space="preserve">Mandate the use of data analytics software for mid-to-large sized audits in Kuwait City to improve sample selection accuracy.</w:t>
      </w:r>
    </w:p>
    <w:p>
      <w:pPr>
        <w:pStyle w:val="BodyText"/>
      </w:pPr>
      <w:r>
        <w:t xml:space="preserve">Strengthening Independence:</w:t>
      </w:r>
    </w:p>
    <w:p>
      <w:pPr>
        <w:pStyle w:val="BodyText"/>
      </w:pPr>
      <w:r>
        <w:br/>
      </w:r>
      <w:r>
        <w:t xml:space="preserve">Corporate boards in Kuwait City should enforce stricter rotation policies and provide greater protection to auditors who report non-compliance.</w:t>
      </w:r>
    </w:p>
    <w:p>
      <w:pPr>
        <w:pStyle w:val="BodyText"/>
      </w:pPr>
      <w:r>
        <w:t xml:space="preserve">9. Conclusion</w:t>
      </w:r>
    </w:p>
    <w:p>
      <w:pPr>
        <w:pStyle w:val="BodyText"/>
      </w:pPr>
      <w:r>
        <w:t xml:space="preserve">The Auditor remains the guardian of financial integrity. In Kuwait City, a city undergoing rapid economic transformation, the scope of this role has expanded significantly. By navigating regulatory complexities, embracing technology, and respecting local cultural and religious contexts, the modern Auditor contributes immensely to the stability and growth of Kuwait's economy.</w:t>
      </w:r>
    </w:p>
    <w:p>
      <w:pPr>
        <w:pStyle w:val="BodyText"/>
      </w:pPr>
      <w:r>
        <w:t xml:space="preserve">Future research should focus on the long-term impact of AI on audit quality in emerging markets like Kuwait City. As the region continues to develop its non-oil sectors, robust auditing frameworks will remain essential for sustaining investor confidence and economic resilience.</w:t>
      </w:r>
    </w:p>
    <w:p>
      <w:pPr>
        <w:pStyle w:val="BodyText"/>
      </w:pPr>
      <w:r>
        <w:t xml:space="preserve">10. References (Selected)</w:t>
      </w:r>
    </w:p>
    <w:p>
      <w:pPr>
        <w:pStyle w:val="BodyText"/>
      </w:pPr>
      <w:r>
        <w:t xml:space="preserve">Kuwait Capital Markets Authority (CMA). Annual Reports on Corporate Governance Compliance.</w:t>
      </w:r>
    </w:p>
    <w:p>
      <w:pPr>
        <w:pStyle w:val="BodyText"/>
      </w:pPr>
      <w:r>
        <w:rPr>
          <w:bCs/>
          <w:b/>
        </w:rPr>
        <w:t xml:space="preserve">Auditor</w:t>
      </w:r>
      <w:r>
        <w:t xml:space="preserve"> </w:t>
      </w:r>
      <w:r>
        <w:t xml:space="preserve">Professional Ethics Guidelines, Kuwait Society of Certified Public Accountants.</w:t>
      </w:r>
    </w:p>
    <w:p>
      <w:pPr>
        <w:pStyle w:val="BodyText"/>
      </w:pPr>
      <w:r>
        <w:t xml:space="preserve">li&gt;</w:t>
      </w:r>
    </w:p>
    <w:p>
      <w:pPr>
        <w:pStyle w:val="BodyText"/>
      </w:pPr>
      <w:r>
        <w:t xml:space="preserve">"Digital Transformation in Gulf Auditing," Journal of Middle East Business, 2023.</w:t>
      </w:r>
    </w:p>
    <w:p>
      <w:pPr>
        <w:pStyle w:val="BodyText"/>
      </w:pPr>
      <w:r>
        <w:t xml:space="preserve">International Federation of Accountants (IFAC) Reports on Emerging Market Risks.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Poster Presentation: Kuwait City Context</dc:title>
  <dc:creator/>
  <dc:language>en</dc:language>
  <cp:keywords/>
  <dcterms:created xsi:type="dcterms:W3CDTF">2026-07-29T16:37:58Z</dcterms:created>
  <dcterms:modified xsi:type="dcterms:W3CDTF">2026-07-29T16:37:58Z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