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New</w:t>
      </w:r>
      <w:r>
        <w:t xml:space="preserve"> </w:t>
      </w:r>
      <w:r>
        <w:t xml:space="preserve">Zealand</w:t>
      </w:r>
      <w:r>
        <w:t xml:space="preserve"> </w:t>
      </w:r>
      <w:r>
        <w:t xml:space="preserve">Wellington</w:t>
      </w:r>
    </w:p>
    <w:bookmarkStart w:id="21" w:name="X2beaf038e3b6460aee4019aa7d02969a48ec060"/>
    <w:p>
      <w:pPr>
        <w:pStyle w:val="Heading1"/>
      </w:pPr>
      <w:r>
        <w:t xml:space="preserve">The Evolving Role of the Auditor in New Zealand Wellington</w:t>
      </w:r>
    </w:p>
    <w:bookmarkStart w:id="20" w:name="X56f77ead6b95cea47b390ac1b9e0e02f4b0a3f0"/>
    <w:p>
      <w:pPr>
        <w:pStyle w:val="Heading3"/>
      </w:pPr>
      <w:r>
        <w:t xml:space="preserve">An Academic Poster Presentation on Professional Standards, Ethical Imperatives, and Public Accountability</w:t>
      </w:r>
    </w:p>
    <w:p>
      <w:pPr>
        <w:pStyle w:val="FirstParagraph"/>
      </w:pPr>
      <w:r>
        <w:br/>
      </w:r>
    </w:p>
    <w:p>
      <w:pPr>
        <w:pStyle w:val="BodyText"/>
      </w:pPr>
      <w:r>
        <w:t xml:space="preserve">Presented at the Wellington Academic Research Symposium</w:t>
      </w:r>
      <w:r>
        <w:br/>
      </w:r>
      <w:r>
        <w:t xml:space="preserve">Author: [Your Name/Academic Institution]</w:t>
      </w:r>
      <w:r>
        <w:br/>
      </w:r>
      <w:r>
        <w:t xml:space="preserve">Date: October 2023</w:t>
      </w:r>
    </w:p>
    <w:bookmarkEnd w:id="20"/>
    <w:bookmarkEnd w:id="21"/>
    <w:bookmarkStart w:id="22" w:name="abstract"/>
    <w:p>
      <w:pPr>
        <w:pStyle w:val="Heading2"/>
      </w:pPr>
      <w:r>
        <w:rPr>
          <w:bCs/>
          <w:b/>
        </w:rPr>
        <w:t xml:space="preserve">Abstract</w:t>
      </w:r>
    </w:p>
    <w:p>
      <w:pPr>
        <w:pStyle w:val="FirstParagraph"/>
      </w:pPr>
      <w:r>
        <w:t xml:space="preserve">This academic poster presentation explores the multifaceted role of the</w:t>
      </w:r>
      <w:r>
        <w:t xml:space="preserve"> </w:t>
      </w:r>
      <w:r>
        <w:t xml:space="preserve">Auditor</w:t>
      </w:r>
      <w:r>
        <w:t xml:space="preserve">, focusing specifically on its critical function within</w:t>
      </w:r>
      <w:r>
        <w:t xml:space="preserve"> </w:t>
      </w:r>
      <w:r>
        <w:t xml:space="preserve">New Zealand Wellington</w:t>
      </w:r>
      <w:r>
        <w:t xml:space="preserve">. As a major economic and political hub, Wellington serves as a unique microcosm for examining how auditing standards intersect with local governance, private sector integrity, and public trust. This paper argues that the modern auditor is not merely a compliance checker but an essential guardian of transparency who shapes the financial ecosystem of New Zealand's capital. We analyze recent changes in legislation affecting auditors, case studies from Wellington-based entities (including government departments and small enterprises), and the impact of international standard adoption on local practices.</w:t>
      </w:r>
    </w:p>
    <w:bookmarkEnd w:id="22"/>
    <w:bookmarkStart w:id="23" w:name="introduction"/>
    <w:p>
      <w:pPr>
        <w:pStyle w:val="Heading2"/>
      </w:pPr>
      <w:r>
        <w:rPr>
          <w:bCs/>
          <w:b/>
        </w:rPr>
        <w:t xml:space="preserve">Introduction</w:t>
      </w:r>
    </w:p>
    <w:p>
      <w:pPr>
        <w:pStyle w:val="FirstParagraph"/>
      </w:pPr>
      <w:r>
        <w:t xml:space="preserve">The concept of auditing is rooted in accountability. However, the practical application of this concept varies significantly based on geographic, economic, and cultural contexts.</w:t>
      </w:r>
      <w:r>
        <w:t xml:space="preserve"> </w:t>
      </w:r>
      <w:r>
        <w:t xml:space="preserve">New Zealand Wellington</w:t>
      </w:r>
      <w:r>
        <w:t xml:space="preserve">, being the seat of government and a burgeoning tech hub for New Zealand's finance sector, presents distinct challenges for professional</w:t>
      </w:r>
      <w:r>
        <w:t xml:space="preserve"> </w:t>
      </w:r>
      <w:r>
        <w:t xml:space="preserve">Auditor</w:t>
      </w:r>
      <w:r>
        <w:t xml:space="preserve">s. The city hosts numerous financial institutions that require rigorous independent scrutiny to maintain investor confidence. Furthermore, the presence of state-owned enterprises in Wellington mandates audits that must adhere to strict legislative frameworks set by the Auditor-General.</w:t>
      </w:r>
    </w:p>
    <w:p>
      <w:pPr>
        <w:pStyle w:val="BodyText"/>
      </w:pPr>
      <w:r>
        <w:t xml:space="preserve">This poster aims to provide a comprehensive overview of these dynamics. It highlights why understanding the local regulatory environment in</w:t>
      </w:r>
      <w:r>
        <w:t xml:space="preserve"> </w:t>
      </w:r>
      <w:r>
        <w:t xml:space="preserve">New Zealand Wellington</w:t>
      </w:r>
      <w:r>
        <w:t xml:space="preserve"> </w:t>
      </w:r>
      <w:r>
        <w:t xml:space="preserve">is crucial for any academic or professional examining auditing practices today. The intersection of global accounting standards with local New Zealand laws creates a complex landscape where precision and ethical judgment are paramount.</w:t>
      </w:r>
    </w:p>
    <w:bookmarkEnd w:id="23"/>
    <w:bookmarkStart w:id="24" w:name="the-regulatory-landscape-in-new-zealand"/>
    <w:p>
      <w:pPr>
        <w:pStyle w:val="Heading2"/>
      </w:pPr>
      <w:r>
        <w:rPr>
          <w:bCs/>
          <w:b/>
        </w:rPr>
        <w:t xml:space="preserve">The Regulatory Landscape in New Zealand</w:t>
      </w:r>
    </w:p>
    <w:p>
      <w:pPr>
        <w:pStyle w:val="FirstParagraph"/>
      </w:pPr>
      <w:r>
        <w:t xml:space="preserve">To understand the</w:t>
      </w:r>
      <w:r>
        <w:t xml:space="preserve"> </w:t>
      </w:r>
      <w:r>
        <w:t xml:space="preserve">Auditor</w:t>
      </w:r>
      <w:r>
        <w:t xml:space="preserve">'s role in</w:t>
      </w:r>
      <w:r>
        <w:t xml:space="preserve"> </w:t>
      </w:r>
      <w:r>
        <w:t xml:space="preserve">New Zealand Wellington</w:t>
      </w:r>
      <w:r>
        <w:t xml:space="preserve">, one must first comprehend the regulatory environment. New Zealand operates under a dual framework comprising International Standards on Auditing (ISAs) adapted for local use by the External Reporting Board (XRB). In Wellington, where government bodies and large corporations converge, strict adherence to these standards is non-negotiable.</w:t>
      </w:r>
    </w:p>
    <w:p>
      <w:pPr>
        <w:pStyle w:val="BodyText"/>
      </w:pPr>
      <w:r>
        <w:t xml:space="preserve">The Financial Reporting Act 2013 serves as a cornerstone of this regulatory framework. It classifies entities into tiers based on public interest. Many</w:t>
      </w:r>
      <w:r>
        <w:t xml:space="preserve"> </w:t>
      </w:r>
      <w:r>
        <w:t xml:space="preserve">Auditor</w:t>
      </w:r>
      <w:r>
        <w:t xml:space="preserve">s in Wellington deal with Tier 1 and Tier 2 entities, which face more stringent reporting requirements than smaller private companies. This tiered approach ensures that resources are allocated efficiently while maintaining high levels of scrutiny where they are most needed—particularly among the significant financial players based in</w:t>
      </w:r>
      <w:r>
        <w:t xml:space="preserve"> </w:t>
      </w:r>
      <w:r>
        <w:t xml:space="preserve">New Zealand Wellington</w:t>
      </w:r>
      <w:r>
        <w:t xml:space="preserve">.</w:t>
      </w:r>
    </w:p>
    <w:bookmarkEnd w:id="24"/>
    <w:bookmarkStart w:id="25" w:name="ethical-challenges-and-independence"/>
    <w:p>
      <w:pPr>
        <w:pStyle w:val="Heading2"/>
      </w:pPr>
      <w:r>
        <w:rPr>
          <w:bCs/>
          <w:b/>
        </w:rPr>
        <w:t xml:space="preserve">Ethical Challenges and Independence</w:t>
      </w:r>
    </w:p>
    <w:p>
      <w:pPr>
        <w:pStyle w:val="FirstParagraph"/>
      </w:pPr>
      <w:r>
        <w:t xml:space="preserve">A primary focus of this research is the ethical burden placed on the modern</w:t>
      </w:r>
      <w:r>
        <w:t xml:space="preserve"> </w:t>
      </w:r>
      <w:r>
        <w:t xml:space="preserve">Auditor</w:t>
      </w:r>
      <w:r>
        <w:t xml:space="preserve">. Independence is not just a technical requirement; it is a moral imperative. In</w:t>
      </w:r>
      <w:r>
        <w:t xml:space="preserve"> </w:t>
      </w:r>
      <w:r>
        <w:t xml:space="preserve">New Zealand Wellington</w:t>
      </w:r>
      <w:r>
        <w:t xml:space="preserve">, where professional networks can be tight-knit due to the concentrated nature of the business community, maintaining objective independence poses unique challenges. The Code of Ethics for Professional Accountants, developed by the International Ethics Standards Board for Accountants (IESBA), provides guidelines that local auditors must rigorously follow.</w:t>
      </w:r>
    </w:p>
    <w:p>
      <w:pPr>
        <w:pStyle w:val="BodyText"/>
      </w:pPr>
      <w:r>
        <w:t xml:space="preserve">This section examines recent case studies involving conflicts of interest and how they were resolved. We analyze how</w:t>
      </w:r>
      <w:r>
        <w:t xml:space="preserve"> </w:t>
      </w:r>
      <w:r>
        <w:t xml:space="preserve">Auditor</w:t>
      </w:r>
      <w:r>
        <w:t xml:space="preserve">s in</w:t>
      </w:r>
      <w:r>
        <w:t xml:space="preserve"> </w:t>
      </w:r>
      <w:r>
        <w:t xml:space="preserve">New Zealand Wellington</w:t>
      </w:r>
      <w:r>
        <w:t xml:space="preserve"> </w:t>
      </w:r>
      <w:r>
        <w:t xml:space="preserve">navigate these pressures, emphasizing the need for robust internal quality control systems within audit firms to protect against undue influence from clients or peers.</w:t>
      </w:r>
    </w:p>
    <w:bookmarkEnd w:id="25"/>
    <w:bookmarkStart w:id="26" w:name="X90757b178e2f5837411f5c90288dbbeb9360872"/>
    <w:p>
      <w:pPr>
        <w:pStyle w:val="Heading2"/>
      </w:pPr>
      <w:r>
        <w:rPr>
          <w:bCs/>
          <w:b/>
        </w:rPr>
        <w:t xml:space="preserve">The Impact of Technology on Auditing Practices</w:t>
      </w:r>
    </w:p>
    <w:p>
      <w:pPr>
        <w:pStyle w:val="FirstParagraph"/>
      </w:pPr>
      <w:r>
        <w:t xml:space="preserve">Digital transformation is reshaping the</w:t>
      </w:r>
      <w:r>
        <w:t xml:space="preserve"> </w:t>
      </w:r>
      <w:r>
        <w:t xml:space="preserve">Auditor</w:t>
      </w:r>
      <w:r>
        <w:t xml:space="preserve">'s profession globally, but its adoption in</w:t>
      </w:r>
      <w:r>
        <w:t xml:space="preserve"> </w:t>
      </w:r>
      <w:r>
        <w:t xml:space="preserve">New Zealand Wellington</w:t>
      </w:r>
      <w:r>
        <w:t xml:space="preserve"> </w:t>
      </w:r>
      <w:r>
        <w:t xml:space="preserve">has been particularly rapid. The rise of Big Data analytics and Artificial Intelligence (AI) allows for continuous auditing rather than periodic reviews. This shift requires auditors to possess not only accounting knowledge but also technological literacy.</w:t>
      </w:r>
    </w:p>
    <w:p>
      <w:pPr>
        <w:pStyle w:val="BodyText"/>
      </w:pPr>
      <w:r>
        <w:t xml:space="preserve">We explore how firms in Wellington are leveraging data visualization tools to detect anomalies more efficiently. For instance, machine learning algorithms can now predict risk areas in a client's financial statements, allowing the</w:t>
      </w:r>
      <w:r>
        <w:t xml:space="preserve"> </w:t>
      </w:r>
      <w:r>
        <w:t xml:space="preserve">Auditor</w:t>
      </w:r>
      <w:r>
        <w:t xml:space="preserve"> </w:t>
      </w:r>
      <w:r>
        <w:t xml:space="preserve">to focus their human expertise on high-risk judgments. This technological evolution enhances the reliability of audit opinions provided by professionals operating in</w:t>
      </w:r>
      <w:r>
        <w:t xml:space="preserve"> </w:t>
      </w:r>
      <w:r>
        <w:t xml:space="preserve">New Zealand Wellington</w:t>
      </w:r>
      <w:r>
        <w:t xml:space="preserve">.</w:t>
      </w:r>
    </w:p>
    <w:bookmarkEnd w:id="26"/>
    <w:bookmarkStart w:id="27" w:name="X7d39adf16864990549a4631d0441380e238de7c"/>
    <w:p>
      <w:pPr>
        <w:pStyle w:val="Heading2"/>
      </w:pPr>
      <w:r>
        <w:rPr>
          <w:bCs/>
          <w:b/>
        </w:rPr>
        <w:t xml:space="preserve">Public Sector Auditing: A Special Case for Wellington</w:t>
      </w:r>
    </w:p>
    <w:p>
      <w:pPr>
        <w:pStyle w:val="FirstParagraph"/>
      </w:pPr>
      <w:r>
        <w:t xml:space="preserve">The role of the</w:t>
      </w:r>
      <w:r>
        <w:t xml:space="preserve"> </w:t>
      </w:r>
      <w:r>
        <w:t xml:space="preserve">Auditor</w:t>
      </w:r>
      <w:r>
        <w:t xml:space="preserve"> </w:t>
      </w:r>
      <w:r>
        <w:t xml:space="preserve">is distinctly visible in the public sector, which is headquartered in</w:t>
      </w:r>
      <w:r>
        <w:t xml:space="preserve"> </w:t>
      </w:r>
      <w:r>
        <w:t xml:space="preserve">New Zealand Wellington</w:t>
      </w:r>
      <w:r>
        <w:t xml:space="preserve">. The Auditor-General of New Zealand plays a pivotal role here, overseeing external audit functions for central government entities. This presentation highlights the differences between statutory audits required by law and value-for-money audits that assess efficiency and effectiveness.</w:t>
      </w:r>
    </w:p>
    <w:p>
      <w:pPr>
        <w:pStyle w:val="BodyText"/>
      </w:pPr>
      <w:r>
        <w:t xml:space="preserve">The transparency achieved through these public sector audits is vital for democratic accountability. Citizens in</w:t>
      </w:r>
      <w:r>
        <w:t xml:space="preserve"> </w:t>
      </w:r>
      <w:r>
        <w:t xml:space="preserve">New Zealand Wellington</w:t>
      </w:r>
      <w:r>
        <w:t xml:space="preserve"> </w:t>
      </w:r>
      <w:r>
        <w:t xml:space="preserve">rely on these reports to understand how their tax dollars are spent. The rigorous standards applied by the Auditor-General set a benchmark for both public and private sector auditing practices nationwide.</w:t>
      </w:r>
    </w:p>
    <w:bookmarkEnd w:id="27"/>
    <w:bookmarkStart w:id="28" w:name="conclusion"/>
    <w:p>
      <w:pPr>
        <w:pStyle w:val="Heading2"/>
      </w:pPr>
      <w:r>
        <w:rPr>
          <w:bCs/>
          <w:b/>
        </w:rPr>
        <w:t xml:space="preserve">Conclusion</w:t>
      </w:r>
    </w:p>
    <w:p>
      <w:pPr>
        <w:pStyle w:val="FirstParagraph"/>
      </w:pPr>
      <w:r>
        <w:t xml:space="preserve">In conclusion, the role of the</w:t>
      </w:r>
      <w:r>
        <w:t xml:space="preserve"> </w:t>
      </w:r>
      <w:r>
        <w:t xml:space="preserve">Auditor</w:t>
      </w:r>
      <w:r>
        <w:t xml:space="preserve"> </w:t>
      </w:r>
      <w:r>
        <w:t xml:space="preserve">is evolving from a historical record-keeper to a strategic advisor on integrity and sustainability. In</w:t>
      </w:r>
      <w:r>
        <w:t xml:space="preserve"> </w:t>
      </w:r>
      <w:r>
        <w:t xml:space="preserve">New Zealand Wellington</w:t>
      </w:r>
      <w:r>
        <w:t xml:space="preserve">, this evolution is driven by both global best practices and local regulatory necessities. As we move forward, auditors will need to adapt to increasingly complex financial instruments, stricter ESG (Environmental, Social, and Governance) reporting requirements, and advanced technological tools.</w:t>
      </w:r>
    </w:p>
    <w:p>
      <w:pPr>
        <w:pStyle w:val="BodyText"/>
      </w:pPr>
      <w:r>
        <w:t xml:space="preserve">This poster presentation underscores that the integrity of</w:t>
      </w:r>
      <w:r>
        <w:t xml:space="preserve"> </w:t>
      </w:r>
      <w:r>
        <w:t xml:space="preserve">New Zealand Wellington</w:t>
      </w:r>
      <w:r>
        <w:t xml:space="preserve">'s economic landscape depends heavily on the competence and ethics of its auditing professionals. Continued investment in education and regulatory support is essential to maintain this standard.</w:t>
      </w:r>
    </w:p>
    <w:bookmarkEnd w:id="28"/>
    <w:bookmarkStart w:id="29" w:name="references-further-reading"/>
    <w:p>
      <w:pPr>
        <w:pStyle w:val="Heading2"/>
      </w:pPr>
      <w:r>
        <w:rPr>
          <w:bCs/>
          <w:b/>
        </w:rPr>
        <w:t xml:space="preserve">References &amp; Further Reading</w:t>
      </w:r>
    </w:p>
    <w:p>
      <w:pPr>
        <w:numPr>
          <w:ilvl w:val="0"/>
          <w:numId w:val="1001"/>
        </w:numPr>
        <w:pStyle w:val="Compact"/>
      </w:pPr>
      <w:r>
        <w:t xml:space="preserve">New Zealand Institute of Chartered Accountants (NZICA). (2023). Professional Standards for Auditors.</w:t>
      </w:r>
    </w:p>
    <w:p>
      <w:pPr>
        <w:numPr>
          <w:ilvl w:val="0"/>
          <w:numId w:val="1001"/>
        </w:numPr>
        <w:pStyle w:val="Compact"/>
      </w:pPr>
      <w:r>
        <w:t xml:space="preserve">Auditor-General New Zealand. Annual Reports on State Sector Performance.</w:t>
      </w:r>
    </w:p>
    <w:p>
      <w:pPr>
        <w:numPr>
          <w:ilvl w:val="0"/>
          <w:numId w:val="1001"/>
        </w:numPr>
        <w:pStyle w:val="Compact"/>
      </w:pPr>
      <w:r>
        <w:t xml:space="preserve">Society of Actuaries in NZ. Trends in Audit Technology Adoption, Wellington Region Study Group, 2022.</w:t>
      </w:r>
    </w:p>
    <w:bookmarkEnd w:id="29"/>
    <w:p>
      <w:pPr>
        <w:pStyle w:val="FirstParagraph"/>
      </w:pPr>
      <w:r>
        <w:t xml:space="preserve">© 2023 Academic Research Symposium - New Zealand Wellington | All Rights Reserved</w:t>
      </w:r>
    </w:p>
    <w:p>
      <w:pPr>
        <w:pStyle w:val="BodyText"/>
      </w:pPr>
      <w:r>
        <w:br/>
      </w:r>
    </w:p>
    <w:p>
      <w:pPr>
        <w:pStyle w:val="BodyText"/>
      </w:pPr>
      <w:r>
        <w:t xml:space="preserve">Contact: researcher@wellington-academic-research.org.nz | +64 4 XXX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New Zealand Wellington</dc:title>
  <dc:creator/>
  <dc:language>en</dc:language>
  <cp:keywords/>
  <dcterms:created xsi:type="dcterms:W3CDTF">2026-07-30T11:00:20Z</dcterms:created>
  <dcterms:modified xsi:type="dcterms:W3CDTF">2026-07-30T11:00:20Z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