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Nigeria</w:t>
      </w:r>
      <w:r>
        <w:t xml:space="preserve"> </w:t>
      </w:r>
      <w:r>
        <w:t xml:space="preserve">Abuja</w:t>
      </w:r>
    </w:p>
    <w:bookmarkStart w:id="20" w:name="X09e27b7d0fb58752b0883dd56f240da7686fed7"/>
    <w:p>
      <w:pPr>
        <w:pStyle w:val="Heading2"/>
      </w:pPr>
      <w:r>
        <w:t xml:space="preserve">The Role of the Auditor in Nigeria Abuja: Enhancing Transparency, Accountability, and Public Trust</w:t>
      </w:r>
    </w:p>
    <w:p>
      <w:pPr>
        <w:pStyle w:val="FirstParagraph"/>
      </w:pPr>
      <w:r>
        <w:br/>
      </w:r>
    </w:p>
    <w:p>
      <w:pPr>
        <w:pStyle w:val="BodyText"/>
      </w:pPr>
      <w:r>
        <w:rPr>
          <w:bCs/>
          <w:b/>
        </w:rPr>
        <w:t xml:space="preserve">Austin tx</w:t>
      </w:r>
    </w:p>
    <w:p>
      <w:pPr>
        <w:pStyle w:val="BodyText"/>
      </w:pPr>
      <w:r>
        <w:rPr>
          <w:iCs/>
          <w:i/>
        </w:rPr>
        <w:t xml:space="preserve">Poster Presentation on Financial Oversight and Corporate Governance</w:t>
      </w:r>
    </w:p>
    <w:p>
      <w:pPr>
        <w:pStyle w:val="BodyText"/>
      </w:pPr>
      <w:r>
        <w:t xml:space="preserve">Introduction and Strategic Importance</w:t>
      </w:r>
    </w:p>
    <w:p>
      <w:pPr>
        <w:pStyle w:val="BodyText"/>
      </w:pPr>
      <w:r>
        <w:t xml:space="preserve">In the dynamic economic landscape of Nigeria, the Federal Capital Territory Abuja serves not only as the political heart of the nation but also as a critical hub for commercial activity, government administration, and international diplomacy. Within this context, the role of Auditor in Abuja is paramount. Auditors act as independent watchdogs ensuring that financial reporting remains accurate transparent and aligned with regulatory standards. This poster explores how effective auditing practices contribute to sustainable development and good governance specifically within the Nigerian Federal Capital Territory.</w:t>
      </w:r>
    </w:p>
    <w:p>
      <w:pPr>
        <w:pStyle w:val="BodyText"/>
      </w:pPr>
      <w:r>
        <w:t xml:space="preserve">The Regulatory Framework</w:t>
      </w:r>
    </w:p>
    <w:p>
      <w:pPr>
        <w:numPr>
          <w:ilvl w:val="0"/>
          <w:numId w:val="1001"/>
        </w:numPr>
        <w:pStyle w:val="Compact"/>
      </w:pPr>
      <w:r>
        <w:rPr>
          <w:bCs/>
          <w:b/>
        </w:rPr>
        <w:t xml:space="preserve">Nigerian Institute of Chartered Accountants (NICA):</w:t>
      </w:r>
    </w:p>
    <w:p>
      <w:pPr>
        <w:pStyle w:val="FirstParagraph"/>
      </w:pPr>
      <w:r>
        <w:br/>
      </w:r>
    </w:p>
    <w:p>
      <w:pPr>
        <w:numPr>
          <w:ilvl w:val="0"/>
          <w:numId w:val="1002"/>
        </w:numPr>
        <w:pStyle w:val="Compact"/>
      </w:pPr>
      <w:r>
        <w:t xml:space="preserve">• The Companies and Allied Matters Act (CAMA) 2020 mandates regular audits for certain classes of companies.</w:t>
      </w:r>
    </w:p>
    <w:p>
      <w:pPr>
        <w:numPr>
          <w:ilvl w:val="0"/>
          <w:numId w:val="1002"/>
        </w:numPr>
        <w:pStyle w:val="Compact"/>
      </w:pPr>
      <w:r>
        <w:t xml:space="preserve">The Economic and Financial Crimes Commission (EFCC) works alongside auditors to combat financial malpractices.</w:t>
      </w:r>
    </w:p>
    <w:p>
      <w:pPr>
        <w:pStyle w:val="FirstParagraph"/>
      </w:pPr>
      <w:r>
        <w:br/>
      </w:r>
    </w:p>
    <w:p>
      <w:pPr>
        <w:pStyle w:val="BodyText"/>
      </w:pPr>
      <w:r>
        <w:t xml:space="preserve">Challenges Faced by Auditors in Abuja</w:t>
      </w:r>
    </w:p>
    <w:p>
      <w:pPr>
        <w:pStyle w:val="BodyText"/>
      </w:pPr>
      <w:r>
        <w:t xml:space="preserve">Auditors operating in Nigeria Abuja face unique challenges including:</w:t>
      </w:r>
    </w:p>
    <w:p>
      <w:pPr>
        <w:pStyle w:val="BodyText"/>
      </w:pPr>
      <w:r>
        <w:t xml:space="preserve">-Pressure from senior management or political figures.</w:t>
      </w:r>
      <w:r>
        <w:t xml:space="preserve"> </w:t>
      </w:r>
      <w:r>
        <w:t xml:space="preserve">-Limited access to digital forensic tools in smaller firms.</w:t>
      </w:r>
      <w:r>
        <w:br/>
      </w:r>
    </w:p>
    <w:p>
      <w:pPr>
        <w:numPr>
          <w:ilvl w:val="0"/>
          <w:numId w:val="1003"/>
        </w:numPr>
        <w:pStyle w:val="Compact"/>
      </w:pPr>
      <w:r>
        <w:t xml:space="preserve">Evolving technological risks requiring continuous upskilling.</w:t>
      </w:r>
    </w:p>
    <w:p>
      <w:pPr>
        <w:pStyle w:val="FirstParagraph"/>
      </w:pPr>
      <w:r>
        <w:br/>
      </w:r>
      <w:r>
        <w:br/>
      </w:r>
    </w:p>
    <w:p>
      <w:pPr>
        <w:pStyle w:val="BodyText"/>
      </w:pPr>
      <w:r>
        <w:t xml:space="preserve">Best Practices for Effective Auditing</w:t>
      </w:r>
    </w:p>
    <w:p>
      <w:pPr>
        <w:pStyle w:val="BodyText"/>
      </w:pPr>
      <w:r>
        <w:t xml:space="preserve">-Adopting International Standards on Auditing (ISAs).</w:t>
      </w:r>
      <w:r>
        <w:br/>
      </w:r>
      <w:r>
        <w:t xml:space="preserve">-Utilizing data analytics for more comprehensive risk assessment.</w:t>
      </w:r>
      <w:r>
        <w:t xml:space="preserve"> </w:t>
      </w:r>
      <w:r>
        <w:t xml:space="preserve">-Maintaining strict independence and objectivity.</w:t>
      </w:r>
    </w:p>
    <w:p>
      <w:pPr>
        <w:pStyle w:val="BodyText"/>
      </w:pPr>
      <w:r>
        <w:t xml:space="preserve">Impact on Stakeholders</w:t>
      </w:r>
    </w:p>
    <w:p>
      <w:pPr>
        <w:pStyle w:val="BodyText"/>
      </w:pPr>
      <w:r>
        <w:rPr>
          <w:bCs/>
          <w:b/>
        </w:rPr>
        <w:t xml:space="preserve">Government:</w:t>
      </w:r>
    </w:p>
    <w:p>
      <w:pPr>
        <w:pStyle w:val="BodyText"/>
      </w:pPr>
      <w:r>
        <w:br/>
      </w:r>
      <w:r>
        <w:t xml:space="preserve">Enhanced efficiency in public fund utilization.</w:t>
      </w:r>
      <w:r>
        <w:br/>
      </w:r>
      <w:r>
        <w:br/>
      </w:r>
      <w:r>
        <w:t xml:space="preserve">-Reduced leakage and corruption.</w:t>
      </w:r>
    </w:p>
    <w:p>
      <w:pPr>
        <w:pStyle w:val="BodyText"/>
      </w:pPr>
      <w:r>
        <w:rPr>
          <w:bCs/>
          <w:b/>
        </w:rPr>
        <w:t xml:space="preserve">Investors:</w:t>
      </w:r>
    </w:p>
    <w:p>
      <w:pPr>
        <w:pStyle w:val="FirstParagraph"/>
      </w:pPr>
      <w:r>
        <w:t xml:space="preserve">-Increased confidence in financial statements.</w:t>
      </w:r>
    </w:p>
    <w:p>
      <w:pPr>
        <w:pStyle w:val="BodyText"/>
      </w:pPr>
      <w:r>
        <w:t xml:space="preserve">-Better risk evaluation for investment decisions.</w:t>
      </w:r>
    </w:p>
    <w:p>
      <w:pPr>
        <w:pStyle w:val="BodyText"/>
      </w:pPr>
      <w:r>
        <w:br/>
      </w:r>
    </w:p>
    <w:p>
      <w:pPr>
        <w:pStyle w:val="BodyText"/>
      </w:pPr>
      <w:r>
        <w:rPr>
          <w:bCs/>
          <w:b/>
        </w:rPr>
        <w:t xml:space="preserve">The Public:</w:t>
      </w:r>
    </w:p>
    <w:p>
      <w:pPr>
        <w:pStyle w:val="FirstParagraph"/>
      </w:pPr>
      <w:r>
        <w:t xml:space="preserve">-Greater trust in government institutions.</w:t>
      </w:r>
    </w:p>
    <w:p>
      <w:pPr>
        <w:pStyle w:val="BodyText"/>
      </w:pPr>
      <w:r>
        <w:t xml:space="preserve">© 2023 Academic Research on Corporate Governance &amp; Auditing Standards.</w:t>
      </w:r>
      <w:r>
        <w:br/>
      </w:r>
      <w:r>
        <w:t xml:space="preserve">Presented at the Annual Conference on Financial Accountability in Nigeria Abuja.</w:t>
      </w:r>
    </w:p>
    <w:p>
      <w:pPr>
        <w:pStyle w:val="BodyText"/>
      </w:pPr>
      <w:r>
        <w:br/>
      </w:r>
    </w:p>
    <w:p>
      <w:pPr>
        <w:pStyle w:val="BodyText"/>
      </w:pPr>
      <w:r>
        <w:t xml:space="preserve">Contact: researcher@university.edu.ng</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Auditor in Nigeria Abuja</dc:title>
  <dc:creator/>
  <dc:language>en</dc:language>
  <cp:keywords/>
  <dcterms:created xsi:type="dcterms:W3CDTF">2026-07-29T10:19:33Z</dcterms:created>
  <dcterms:modified xsi:type="dcterms:W3CDTF">2026-07-29T10:19:33Z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