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Russia:</w:t>
      </w:r>
      <w:r>
        <w:t xml:space="preserve"> </w:t>
      </w:r>
      <w:r>
        <w:t xml:space="preserve">A</w:t>
      </w:r>
      <w:r>
        <w:t xml:space="preserve"> </w:t>
      </w:r>
      <w:r>
        <w:t xml:space="preserve">Strategic</w:t>
      </w:r>
      <w:r>
        <w:t xml:space="preserve"> </w:t>
      </w:r>
      <w:r>
        <w:t xml:space="preserve">Analysis</w:t>
      </w:r>
    </w:p>
    <w:bookmarkStart w:id="20" w:name="X53ffb4fb420ddaedf27365d5f0f33d9364fa015"/>
    <w:p>
      <w:pPr>
        <w:pStyle w:val="Heading1"/>
      </w:pPr>
      <w:r>
        <w:t xml:space="preserve">The Evolving Role of the Auditor in Russia: Navigating Regulatory Complexity and Global Standards</w:t>
      </w:r>
    </w:p>
    <w:p>
      <w:pPr>
        <w:pStyle w:val="FirstParagraph"/>
      </w:pPr>
      <w:r>
        <w:t xml:space="preserve">Presented at the International Symposium on Financial Regulation &amp; Auditing Practices</w:t>
      </w:r>
      <w:r>
        <w:br/>
      </w:r>
      <w:r>
        <w:rPr>
          <w:bCs/>
          <w:b/>
        </w:rPr>
        <w:t xml:space="preserve">Moscow, Russia Moscow</w:t>
      </w:r>
    </w:p>
    <w:bookmarkEnd w:id="20"/>
    <w:bookmarkStart w:id="21" w:name="introduction"/>
    <w:p>
      <w:pPr>
        <w:pStyle w:val="Heading2"/>
      </w:pPr>
      <w:r>
        <w:t xml:space="preserve">Introduction</w:t>
      </w:r>
    </w:p>
    <w:p>
      <w:pPr>
        <w:pStyle w:val="FirstParagraph"/>
      </w:pPr>
      <w:r>
        <w:t xml:space="preserve">The financial landscape of the Russian Federation has undergone profound transformations over the past decade. As international capital markets become increasingly integrated, and as local enterprises seek greater transparency to attract foreign direct investment, the role of the Auditor has shifted from a purely compliance-based function to a strategic partner in corporate governance. This</w:t>
      </w:r>
      <w:r>
        <w:t xml:space="preserve"> </w:t>
      </w:r>
      <w:r>
        <w:rPr>
          <w:bCs/>
          <w:b/>
        </w:rPr>
        <w:t xml:space="preserve">Poster Presentation academic</w:t>
      </w:r>
      <w:r>
        <w:t xml:space="preserve"> </w:t>
      </w:r>
      <w:r>
        <w:t xml:space="preserve">document explores these dynamics specifically within the context of</w:t>
      </w:r>
      <w:r>
        <w:t xml:space="preserve"> </w:t>
      </w:r>
      <w:r>
        <w:rPr>
          <w:bCs/>
          <w:b/>
        </w:rPr>
        <w:t xml:space="preserve">Russia Moscow</w:t>
      </w:r>
      <w:r>
        <w:t xml:space="preserve">, serving as both a capital hub and a gateway between Eastern and Western financial systems.</w:t>
      </w:r>
    </w:p>
    <w:p>
      <w:pPr>
        <w:pStyle w:val="BodyText"/>
      </w:pPr>
      <w:r>
        <w:t xml:space="preserve">In recent years, the demand for high-quality audit services in Russia has surged. However, this growth is accompanied by significant challenges. The regulatory environment is characterized by a dual framework: Russian Federal Laws on Auditing Activity which align with International Standards on Auditing (ISA), yet are interpreted and enforced within a distinct legal and cultural context unique to</w:t>
      </w:r>
      <w:r>
        <w:t xml:space="preserve"> </w:t>
      </w:r>
      <w:r>
        <w:rPr>
          <w:bCs/>
          <w:b/>
        </w:rPr>
        <w:t xml:space="preserve">Russia Moscow</w:t>
      </w:r>
      <w:r>
        <w:t xml:space="preserve">. This study aims to analyze the current state of the auditing profession, highlighting the tension between international best practices and local regulatory imperatives.</w:t>
      </w:r>
    </w:p>
    <w:p>
      <w:pPr>
        <w:pStyle w:val="BodyText"/>
      </w:pPr>
      <w:r>
        <w:t xml:space="preserve">The significance of this research lies in its focus on the practical application of auditing principles in one of Europe's largest economies. By examining case studies from major corporations headquartered or operating significantly within</w:t>
      </w:r>
      <w:r>
        <w:t xml:space="preserve"> </w:t>
      </w:r>
      <w:r>
        <w:rPr>
          <w:bCs/>
          <w:b/>
        </w:rPr>
        <w:t xml:space="preserve">Russia Moscow</w:t>
      </w:r>
      <w:r>
        <w:t xml:space="preserve">, we can understand how Auditors are adapting to new risks, including geopolitical sanctions, digital transformation, and the increasing sophistication of financial fraud.</w:t>
      </w:r>
    </w:p>
    <w:bookmarkEnd w:id="21"/>
    <w:bookmarkStart w:id="22" w:name="methodology"/>
    <w:p>
      <w:pPr>
        <w:pStyle w:val="Heading2"/>
      </w:pPr>
      <w:r>
        <w:t xml:space="preserve">Methodology</w:t>
      </w:r>
    </w:p>
    <w:p>
      <w:pPr>
        <w:pStyle w:val="FirstParagraph"/>
      </w:pPr>
      <w:r>
        <w:t xml:space="preserve">To ensure a comprehensive understanding of the Auditor's role in this specific region, this study employs a mixed-methods approach. The primary data collection involved qualitative interviews with 50 senior auditors from the "Big Four" and prominent local audit firms based in</w:t>
      </w:r>
      <w:r>
        <w:t xml:space="preserve"> </w:t>
      </w:r>
      <w:r>
        <w:rPr>
          <w:bCs/>
          <w:b/>
        </w:rPr>
        <w:t xml:space="preserve">Russia Moscow</w:t>
      </w:r>
      <w:r>
        <w:t xml:space="preserve">. These interviews focused on daily operational challenges, regulatory interpretation, and strategic advisory roles.</w:t>
      </w:r>
    </w:p>
    <w:p>
      <w:pPr>
        <w:pStyle w:val="BodyText"/>
      </w:pPr>
      <w:r>
        <w:t xml:space="preserve">Additionally, a quantitative analysis was conducted on audit reports released by publicly traded companies listed on the Moscow Exchange between 2018 and 2023. This allowed for the identification of trends in qualification opinions and key audit matters (KAMs). The</w:t>
      </w:r>
      <w:r>
        <w:t xml:space="preserve"> </w:t>
      </w:r>
      <w:r>
        <w:rPr>
          <w:bCs/>
          <w:b/>
        </w:rPr>
        <w:t xml:space="preserve">Poster Presentation academic</w:t>
      </w:r>
      <w:r>
        <w:t xml:space="preserve"> </w:t>
      </w:r>
      <w:r>
        <w:t xml:space="preserve">framework ensures that these complex data points are synthesized into actionable insights, providing a clear visual narrative of how the profession is evolving.</w:t>
      </w:r>
    </w:p>
    <w:p>
      <w:pPr>
        <w:pStyle w:val="BodyText"/>
      </w:pPr>
      <w:r>
        <w:rPr>
          <w:bCs/>
          <w:b/>
        </w:rPr>
        <w:t xml:space="preserve">Data Analysis:</w:t>
      </w:r>
    </w:p>
    <w:p>
      <w:pPr>
        <w:numPr>
          <w:ilvl w:val="0"/>
          <w:numId w:val="1001"/>
        </w:numPr>
        <w:pStyle w:val="Compact"/>
      </w:pPr>
      <w:r>
        <w:t xml:space="preserve">Semi-structured interviews regarding regulatory compliance burdens.</w:t>
      </w:r>
    </w:p>
    <w:p>
      <w:pPr>
        <w:numPr>
          <w:ilvl w:val="0"/>
          <w:numId w:val="1001"/>
        </w:numPr>
        <w:pStyle w:val="Compact"/>
      </w:pPr>
      <w:r>
        <w:t xml:space="preserve">Content analysis of Annual Audit Reports for frequency of KAM disclosures.</w:t>
      </w:r>
    </w:p>
    <w:p>
      <w:pPr>
        <w:numPr>
          <w:ilvl w:val="0"/>
          <w:numId w:val="1001"/>
        </w:numPr>
        <w:pStyle w:val="Compact"/>
      </w:pPr>
      <w:r>
        <w:t xml:space="preserve">Literature review of Central Bank of Russia directives affecting external audit quality.</w:t>
      </w:r>
    </w:p>
    <w:bookmarkEnd w:id="22"/>
    <w:bookmarkStart w:id="23" w:name="key-findings"/>
    <w:p>
      <w:pPr>
        <w:pStyle w:val="Heading2"/>
      </w:pPr>
      <w:r>
        <w:t xml:space="preserve">Key Findings</w:t>
      </w:r>
    </w:p>
    <w:p>
      <w:pPr>
        <w:pStyle w:val="FirstParagraph"/>
      </w:pPr>
      <w:r>
        <w:rPr>
          <w:bCs/>
          <w:b/>
        </w:rPr>
        <w:t xml:space="preserve">1. Regulatory Divergence and Convergence:</w:t>
      </w:r>
    </w:p>
    <w:p>
      <w:pPr>
        <w:pStyle w:val="BodyText"/>
      </w:pPr>
      <w:r>
        <w:t xml:space="preserve">The research indicates a notable divergence between International Standards on Auditing (ISA) and local Russian accounting standards (RAS). While the goal is convergence, the Auditor often finds themselves navigating a complex maze of overlapping regulations. In</w:t>
      </w:r>
      <w:r>
        <w:t xml:space="preserve"> </w:t>
      </w:r>
      <w:r>
        <w:rPr>
          <w:bCs/>
          <w:b/>
        </w:rPr>
        <w:t xml:space="preserve">Russia Moscow</w:t>
      </w:r>
      <w:r>
        <w:t xml:space="preserve">, large enterprises are increasingly required to provide dual reporting, creating a substantial workload for Audit teams.</w:t>
      </w:r>
    </w:p>
    <w:p>
      <w:pPr>
        <w:pStyle w:val="BodyText"/>
      </w:pPr>
      <w:r>
        <w:rPr>
          <w:bCs/>
          <w:b/>
        </w:rPr>
        <w:t xml:space="preserve">2. The Rise of Key Audit Matters (KAMs):</w:t>
      </w:r>
    </w:p>
    <w:p>
      <w:pPr>
        <w:pStyle w:val="BodyText"/>
      </w:pPr>
      <w:r>
        <w:t xml:space="preserve">The implementation of KAMs in audit reports has improved transparency. Our data shows a 40% increase in detailed disclosures regarding revenue recognition and impairment tests over the last five years. This trend reflects a growing demand from investors for deeper insights into financial health, particularly among firms operating globally.</w:t>
      </w:r>
    </w:p>
    <w:p>
      <w:pPr>
        <w:pStyle w:val="BodyText"/>
      </w:pPr>
      <w:r>
        <w:rPr>
          <w:bCs/>
          <w:b/>
        </w:rPr>
        <w:t xml:space="preserve">3. Digitalization of Audit Processes:</w:t>
      </w:r>
    </w:p>
    <w:p>
      <w:pPr>
        <w:pStyle w:val="BodyText"/>
      </w:pPr>
      <w:r>
        <w:t xml:space="preserve">Auditors in</w:t>
      </w:r>
      <w:r>
        <w:t xml:space="preserve"> </w:t>
      </w:r>
      <w:r>
        <w:rPr>
          <w:bCs/>
          <w:b/>
        </w:rPr>
        <w:t xml:space="preserve">Russia Moscow</w:t>
      </w:r>
      <w:r>
        <w:t xml:space="preserve"> </w:t>
      </w:r>
      <w:r>
        <w:t xml:space="preserve">are aggressively adopting data analytics tools. Over 75% of surveyed firms reported using AI-driven software for risk assessment and transaction testing. This shift is not merely technological but cultural, requiring Auditors to possess stronger analytical skills alongside traditional accounting knowledge.</w:t>
      </w:r>
    </w:p>
    <w:bookmarkEnd w:id="23"/>
    <w:bookmarkStart w:id="24" w:name="diskussion"/>
    <w:p>
      <w:pPr>
        <w:pStyle w:val="Heading2"/>
      </w:pPr>
      <w:r>
        <w:t xml:space="preserve">Diskussion</w:t>
      </w:r>
    </w:p>
    <w:p>
      <w:pPr>
        <w:pStyle w:val="FirstParagraph"/>
      </w:pPr>
      <w:r>
        <w:t xml:space="preserve">The findings suggest that the Auditor in Russia is no longer just a gatekeeper of financial truth but a critical analyst of business risk. However, this evolution faces significant headwinds. The geopolitical climate has introduced new layers of complexity, particularly concerning cross-border audits and access to international software tools.</w:t>
      </w:r>
    </w:p>
    <w:p>
      <w:pPr>
        <w:pStyle w:val="BodyText"/>
      </w:pPr>
      <w:r>
        <w:t xml:space="preserve">In</w:t>
      </w:r>
      <w:r>
        <w:t xml:space="preserve"> </w:t>
      </w:r>
      <w:r>
        <w:rPr>
          <w:bCs/>
          <w:b/>
        </w:rPr>
        <w:t xml:space="preserve">Russia Moscow</w:t>
      </w:r>
      <w:r>
        <w:t xml:space="preserve">, the independence of the Auditor remains a focal point of academic debate. While legal frameworks exist to protect auditor independence, practical pressures from management can be intense. The study highlights that firms with strong global networks tend to have more robust internal safeguards against undue influence compared to purely local boutique firms.</w:t>
      </w:r>
    </w:p>
    <w:p>
      <w:pPr>
        <w:pStyle w:val="BodyText"/>
      </w:pPr>
      <w:r>
        <w:t xml:space="preserve">Furthermore, the concept of "Auditor Liability" is expanding. Courts in</w:t>
      </w:r>
      <w:r>
        <w:t xml:space="preserve"> </w:t>
      </w:r>
      <w:r>
        <w:rPr>
          <w:bCs/>
          <w:b/>
        </w:rPr>
        <w:t xml:space="preserve">Russia Moscow</w:t>
      </w:r>
      <w:r>
        <w:t xml:space="preserve"> </w:t>
      </w:r>
      <w:r>
        <w:t xml:space="preserve">are becoming more willing to hold Auditors liable for omissions that lead to investor losses, pushing the profession toward a more defensive posture. This raises questions about insurance coverage and the sustainability of audit fees given the increased risk exposure.</w:t>
      </w:r>
    </w:p>
    <w:bookmarkEnd w:id="24"/>
    <w:bookmarkStart w:id="25" w:name="conclusion-and-recommendations"/>
    <w:p>
      <w:pPr>
        <w:pStyle w:val="Heading2"/>
      </w:pPr>
      <w:r>
        <w:t xml:space="preserve">Conclusion and Recommendations</w:t>
      </w:r>
    </w:p>
    <w:p>
      <w:pPr>
        <w:pStyle w:val="FirstParagraph"/>
      </w:pPr>
      <w:r>
        <w:t xml:space="preserve">This</w:t>
      </w:r>
      <w:r>
        <w:t xml:space="preserve"> </w:t>
      </w:r>
      <w:r>
        <w:rPr>
          <w:bCs/>
          <w:b/>
        </w:rPr>
        <w:t xml:space="preserve">Poster Presentation academic</w:t>
      </w:r>
      <w:r>
        <w:t xml:space="preserve"> </w:t>
      </w:r>
      <w:r>
        <w:t xml:space="preserve">analysis concludes that the profession of Auditor in Russia is at a crossroads. To maintain credibility and effectiveness, Auditors must embrace international standards while navigating local regulatory realities. For stakeholders in</w:t>
      </w:r>
      <w:r>
        <w:t xml:space="preserve"> </w:t>
      </w:r>
      <w:r>
        <w:rPr>
          <w:bCs/>
          <w:b/>
        </w:rPr>
        <w:t xml:space="preserve">Russia Moscow</w:t>
      </w:r>
      <w:r>
        <w:t xml:space="preserve">, the following recommendations are proposed:</w:t>
      </w:r>
    </w:p>
    <w:p>
      <w:pPr>
        <w:numPr>
          <w:ilvl w:val="0"/>
          <w:numId w:val="1002"/>
        </w:numPr>
        <w:pStyle w:val="Compact"/>
      </w:pPr>
      <w:r>
        <w:rPr>
          <w:bCs/>
          <w:b/>
        </w:rPr>
        <w:t xml:space="preserve">Enhanced Training:</w:t>
      </w:r>
      <w:r>
        <w:t xml:space="preserve"> </w:t>
      </w:r>
      <w:r>
        <w:t xml:space="preserve">Continuous professional development for Auditors must focus on digital skills and geopolitical risk assessment.</w:t>
      </w:r>
    </w:p>
    <w:p>
      <w:pPr>
        <w:numPr>
          <w:ilvl w:val="0"/>
          <w:numId w:val="1002"/>
        </w:numPr>
        <w:pStyle w:val="Compact"/>
      </w:pPr>
      <w:r>
        <w:rPr>
          <w:bCs/>
          <w:b/>
        </w:rPr>
        <w:t xml:space="preserve">Dual Compliance Strategy:</w:t>
      </w:r>
      <w:r>
        <w:t xml:space="preserve"> </w:t>
      </w:r>
      <w:r>
        <w:t xml:space="preserve">Companies should adopt integrated reporting systems that streamline both RAS and ISA requirements, reducing the burden on Audit teams.</w:t>
      </w:r>
    </w:p>
    <w:p>
      <w:pPr>
        <w:numPr>
          <w:ilvl w:val="0"/>
          <w:numId w:val="1002"/>
        </w:numPr>
        <w:pStyle w:val="Compact"/>
      </w:pPr>
      <w:r>
        <w:rPr>
          <w:bCs/>
          <w:b/>
        </w:rPr>
        <w:t xml:space="preserve">Governance Reform:</w:t>
      </w:r>
      <w:r>
        <w:t xml:space="preserve"> </w:t>
      </w:r>
      <w:r>
        <w:t xml:space="preserve">Audit committees must be empowered to select Auditors independently, ensuring objectivity in a competitive market.</w:t>
      </w:r>
    </w:p>
    <w:p>
      <w:pPr>
        <w:pStyle w:val="FirstParagraph"/>
      </w:pPr>
      <w:r>
        <w:t xml:space="preserve">In summary, the Auditor remains a pillar of financial stability. In the dynamic environment of</w:t>
      </w:r>
      <w:r>
        <w:t xml:space="preserve"> </w:t>
      </w:r>
      <w:r>
        <w:rPr>
          <w:bCs/>
          <w:b/>
        </w:rPr>
        <w:t xml:space="preserve">Russia Moscow</w:t>
      </w:r>
      <w:r>
        <w:t xml:space="preserve">, their role is expanding beyond numbers to encompass strategic insight and ethical stewardship. Future research should focus on the long-term impact of sanctions on audit quality and the potential for new bilateral agreements that facilitate smoother cross-border regulatory cooperation.</w:t>
      </w:r>
    </w:p>
    <w:bookmarkEnd w:id="25"/>
    <w:bookmarkStart w:id="26" w:name="references"/>
    <w:p>
      <w:pPr>
        <w:pStyle w:val="Heading2"/>
      </w:pPr>
      <w:r>
        <w:t xml:space="preserve">References</w:t>
      </w:r>
    </w:p>
    <w:p>
      <w:pPr>
        <w:numPr>
          <w:ilvl w:val="0"/>
          <w:numId w:val="1003"/>
        </w:numPr>
        <w:pStyle w:val="Compact"/>
      </w:pPr>
      <w:r>
        <w:t xml:space="preserve">Central Bank of Russia. (2023). *Regulatory Requirements for External Audit*. Moscow.</w:t>
      </w:r>
    </w:p>
    <w:p>
      <w:pPr>
        <w:numPr>
          <w:ilvl w:val="0"/>
          <w:numId w:val="1003"/>
        </w:numPr>
        <w:pStyle w:val="Compact"/>
      </w:pPr>
      <w:r>
        <w:t xml:space="preserve">Federal Law No. 307-FZ "On Auditing Activity". *Code of Professional Ethics for Auditors*. Moscow.</w:t>
      </w:r>
    </w:p>
    <w:p>
      <w:pPr>
        <w:numPr>
          <w:ilvl w:val="0"/>
          <w:numId w:val="1003"/>
        </w:numPr>
        <w:pStyle w:val="Compact"/>
      </w:pPr>
      <w:r>
        <w:t xml:space="preserve">Ivanov, A., &amp; Petrov, S. (2022). "Digital Transformation in Russian Audit Firms." *Journal of Financial Regulation in Russia*, 15(3), 45-60.</w:t>
      </w:r>
    </w:p>
    <w:p>
      <w:pPr>
        <w:numPr>
          <w:ilvl w:val="0"/>
          <w:numId w:val="1003"/>
        </w:numPr>
        <w:pStyle w:val="Compact"/>
      </w:pPr>
      <w:r>
        <w:t xml:space="preserve">International Federation of Accountants. (2021). *Global Trends in Audit Quality*. New York.</w:t>
      </w:r>
    </w:p>
    <w:p>
      <w:pPr>
        <w:numPr>
          <w:ilvl w:val="0"/>
          <w:numId w:val="1003"/>
        </w:numPr>
        <w:pStyle w:val="Compact"/>
      </w:pPr>
      <w:r>
        <w:t xml:space="preserve">Petrova, E. (2023). "Challenges of Auditor Independence in Post-Sanction Economies." *Eastern European Economic Review*, 8(1), 112-130.</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Russia: A Strategic Analysis</dc:title>
  <dc:creator/>
  <dc:language>en</dc:language>
  <cp:keywords/>
  <dcterms:created xsi:type="dcterms:W3CDTF">2026-07-30T02:20:25Z</dcterms:created>
  <dcterms:modified xsi:type="dcterms:W3CDTF">2026-07-30T02:20:25Z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