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0" w:name="redefining-assurance-in-emerging-markets"/>
    <w:p>
      <w:pPr>
        <w:pStyle w:val="Heading1"/>
      </w:pPr>
      <w:r>
        <w:t xml:space="preserve">Redefining Assurance in Emerging Markets</w:t>
      </w:r>
    </w:p>
    <w:p>
      <w:pPr>
        <w:pStyle w:val="FirstParagraph"/>
      </w:pPr>
      <w:r>
        <w:t xml:space="preserve">A Comprehensive Analysis of Auditor Competence, Digital Transformation, and Regulatory Compliance in Thailand Bangkok</w:t>
      </w:r>
    </w:p>
    <w:bookmarkEnd w:id="20"/>
    <w:p>
      <w:pPr>
        <w:pStyle w:val="BodyText"/>
      </w:pPr>
      <w:r>
        <w:rPr>
          <w:bCs/>
          <w:b/>
        </w:rPr>
        <w:t xml:space="preserve">Presentation by: Academic Research Team</w:t>
      </w:r>
      <w:r>
        <w:br/>
      </w:r>
      <w:r>
        <w:t xml:space="preserve">Focus Region: Southeast Asia | Primary Case Study Location: Thailand Bangkok</w:t>
      </w:r>
      <w:r>
        <w:br/>
      </w:r>
    </w:p>
    <w:bookmarkStart w:id="21" w:name="introduction-and-contextual-background"/>
    <w:p>
      <w:pPr>
        <w:pStyle w:val="Heading2"/>
      </w:pPr>
      <w:r>
        <w:t xml:space="preserve">1. Introduction and Contextual Background</w:t>
      </w:r>
    </w:p>
    <w:p>
      <w:pPr>
        <w:pStyle w:val="FirstParagraph"/>
      </w:pPr>
      <w:r>
        <w:t xml:space="preserve">The global financial landscape is undergoing a seismic shift driven by digitalization, increased regulatory scrutiny, and evolving stakeholder expectations. In this context, the role of the</w:t>
      </w:r>
      <w:r>
        <w:t xml:space="preserve"> </w:t>
      </w:r>
      <w:r>
        <w:rPr>
          <w:bCs/>
          <w:b/>
        </w:rPr>
        <w:t xml:space="preserve">Auditor</w:t>
      </w:r>
      <w:r>
        <w:t xml:space="preserve"> </w:t>
      </w:r>
      <w:r>
        <w:t xml:space="preserve">has transcended traditional compliance checking to become a strategic advisor on risk management and corporate governance. This poster presentation focuses specifically on the dynamic business environment of</w:t>
      </w:r>
      <w:r>
        <w:t xml:space="preserve"> </w:t>
      </w:r>
      <w:r>
        <w:rPr>
          <w:bCs/>
          <w:b/>
        </w:rPr>
        <w:t xml:space="preserve">Thailand Bangkok</w:t>
      </w:r>
      <w:r>
        <w:t xml:space="preserve">, a hub for international trade, tourism, and finance in Southeast Asia.</w:t>
      </w:r>
    </w:p>
    <w:p>
      <w:pPr>
        <w:pStyle w:val="BodyText"/>
      </w:pPr>
      <w:r>
        <w:rPr>
          <w:bCs/>
          <w:b/>
        </w:rPr>
        <w:t xml:space="preserve">Thailand Bangkok</w:t>
      </w:r>
      <w:r>
        <w:t xml:space="preserve"> </w:t>
      </w:r>
      <w:r>
        <w:t xml:space="preserve">serves as a critical microcosm for examining how emerging markets adapt to International Standards on Auditing (ISA). As the capital city and economic engine of Thailand, it hosts headquarters of major multinational corporations (MNCs), regional banks, and growing SMEs. The concentration of these entities creates a unique demand for high-quality audit services that can navigate complex local regulations while adhering to global best practices.</w:t>
      </w:r>
    </w:p>
    <w:bookmarkEnd w:id="21"/>
    <w:bookmarkStart w:id="22" w:name="objectives-of-the-study"/>
    <w:p>
      <w:pPr>
        <w:pStyle w:val="Heading2"/>
      </w:pPr>
      <w:r>
        <w:t xml:space="preserve">2. Objectives of the Study</w:t>
      </w:r>
    </w:p>
    <w:p>
      <w:pPr>
        <w:numPr>
          <w:ilvl w:val="0"/>
          <w:numId w:val="1001"/>
        </w:numPr>
        <w:pStyle w:val="Compact"/>
      </w:pPr>
      <w:r>
        <w:t xml:space="preserve">To evaluate the current competency framework of certified public accountants practicing in</w:t>
      </w:r>
      <w:r>
        <w:t xml:space="preserve"> </w:t>
      </w:r>
      <w:r>
        <w:rPr>
          <w:bCs/>
          <w:b/>
        </w:rPr>
        <w:t xml:space="preserve">Thailand Bangkok</w:t>
      </w:r>
      <w:r>
        <w:t xml:space="preserve">.</w:t>
      </w:r>
    </w:p>
    <w:p>
      <w:pPr>
        <w:numPr>
          <w:ilvl w:val="0"/>
          <w:numId w:val="1001"/>
        </w:numPr>
        <w:pStyle w:val="Compact"/>
      </w:pPr>
      <w:r>
        <w:t xml:space="preserve">To assess the impact of digital transformation tools (AI, Big Data Analytics) on audit efficiency within Thai firms.</w:t>
      </w:r>
    </w:p>
    <w:p>
      <w:pPr>
        <w:numPr>
          <w:ilvl w:val="0"/>
          <w:numId w:val="1001"/>
        </w:numPr>
        <w:pStyle w:val="Compact"/>
      </w:pPr>
      <w:r>
        <w:t xml:space="preserve">To analyze the correlation between regulatory enforcement by the Federation of Accounting Professions (FAP) and audit quality metrics in the capital region.</w:t>
      </w:r>
    </w:p>
    <w:bookmarkEnd w:id="22"/>
    <w:bookmarkStart w:id="23" w:name="methodology"/>
    <w:p>
      <w:pPr>
        <w:pStyle w:val="Heading2"/>
      </w:pPr>
      <w:r>
        <w:t xml:space="preserve">3. Methodology</w:t>
      </w:r>
    </w:p>
    <w:p>
      <w:pPr>
        <w:pStyle w:val="FirstParagraph"/>
      </w:pPr>
      <w:r>
        <w:t xml:space="preserve">This academic study employs a mixed-methods approach to ensure robust data collection regarding auditor practices in</w:t>
      </w:r>
      <w:r>
        <w:t xml:space="preserve"> </w:t>
      </w:r>
      <w:r>
        <w:rPr>
          <w:bCs/>
          <w:b/>
        </w:rPr>
        <w:t xml:space="preserve">Thailand Bangkok</w:t>
      </w:r>
      <w:r>
        <w:t xml:space="preserve">. The research design includes:</w:t>
      </w:r>
    </w:p>
    <w:p>
      <w:pPr>
        <w:numPr>
          <w:ilvl w:val="0"/>
          <w:numId w:val="1002"/>
        </w:numPr>
        <w:pStyle w:val="Compact"/>
      </w:pPr>
      <w:r>
        <w:rPr>
          <w:bCs/>
          <w:b/>
        </w:rPr>
        <w:t xml:space="preserve">Quantitative Survey:</w:t>
      </w:r>
      <w:r>
        <w:t xml:space="preserve"> </w:t>
      </w:r>
      <w:r>
        <w:t xml:space="preserve">Distributed to 300 licensed auditors and audit managers located within the Bangkok metropolitan area.</w:t>
      </w:r>
    </w:p>
    <w:p>
      <w:pPr>
        <w:numPr>
          <w:ilvl w:val="0"/>
          <w:numId w:val="1002"/>
        </w:numPr>
        <w:pStyle w:val="Compact"/>
      </w:pPr>
      <w:r>
        <w:rPr>
          <w:bCs/>
          <w:b/>
        </w:rPr>
        <w:t xml:space="preserve">Semi-Structured Interviews:</w:t>
      </w:r>
      <w:r>
        <w:t xml:space="preserve"> </w:t>
      </w:r>
      <w:r>
        <w:t xml:space="preserve">Conducted with 20 senior partners from Big Four and mid-tier firms operating in</w:t>
      </w:r>
      <w:r>
        <w:t xml:space="preserve"> </w:t>
      </w:r>
      <w:r>
        <w:rPr>
          <w:bCs/>
          <w:b/>
        </w:rPr>
        <w:t xml:space="preserve">Thailand Bangkok</w:t>
      </w:r>
      <w:r>
        <w:t xml:space="preserve">.</w:t>
      </w:r>
    </w:p>
    <w:p>
      <w:pPr>
        <w:numPr>
          <w:ilvl w:val="0"/>
          <w:numId w:val="1002"/>
        </w:numPr>
        <w:pStyle w:val="Compact"/>
      </w:pPr>
      <w:r>
        <w:rPr>
          <w:bCs/>
          <w:b/>
        </w:rPr>
        <w:t xml:space="preserve">Cross-Sectional Data Analysis:</w:t>
      </w:r>
    </w:p>
    <w:bookmarkEnd w:id="23"/>
    <w:bookmarkStart w:id="24" w:name="key-findings-the-auditors-role"/>
    <w:p>
      <w:pPr>
        <w:pStyle w:val="Heading2"/>
      </w:pPr>
      <w:r>
        <w:t xml:space="preserve">4. Key Findings: The Auditor's Role</w:t>
      </w:r>
    </w:p>
    <w:p>
      <w:pPr>
        <w:pStyle w:val="FirstParagraph"/>
      </w:pPr>
      <w:r>
        <w:t xml:space="preserve">The data reveals a significant divergence between traditional audit functions and modern expectations. In</w:t>
      </w:r>
      <w:r>
        <w:t xml:space="preserve"> </w:t>
      </w:r>
      <w:r>
        <w:rPr>
          <w:bCs/>
          <w:b/>
        </w:rPr>
        <w:t xml:space="preserve">Thailand Bangkok</w:t>
      </w:r>
      <w:r>
        <w:t xml:space="preserve">, auditors are increasingly viewed as validators of ESG (Environmental, Social, and Governance) reporting. Local stakeholders demand greater transparency regarding sustainability initiatives, pushing the</w:t>
      </w:r>
      <w:r>
        <w:t xml:space="preserve"> </w:t>
      </w:r>
      <w:r>
        <w:rPr>
          <w:bCs/>
          <w:b/>
        </w:rPr>
        <w:t xml:space="preserve">Auditor</w:t>
      </w:r>
      <w:r>
        <w:t xml:space="preserve"> </w:t>
      </w:r>
      <w:r>
        <w:t xml:space="preserve">to expand their scope beyond financial statements.</w:t>
      </w:r>
    </w:p>
    <w:p>
      <w:pPr>
        <w:pStyle w:val="BodyText"/>
      </w:pPr>
      <w:r>
        <w:t xml:space="preserve">Furthermore, the study highlights a persistent skills gap. While 75% of respondents in</w:t>
      </w:r>
      <w:r>
        <w:t xml:space="preserve"> </w:t>
      </w:r>
      <w:r>
        <w:rPr>
          <w:bCs/>
          <w:b/>
        </w:rPr>
        <w:t xml:space="preserve">Thailand Bangkok</w:t>
      </w:r>
      <w:r>
        <w:t xml:space="preserve"> </w:t>
      </w:r>
      <w:r>
        <w:t xml:space="preserve">acknowledged the necessity of data analytics, only 30% reported possessing advanced technical proficiency. This suggests that while the demand for tech-savvy auditors is high, educational and professional development frameworks are lagging behind industry needs.</w:t>
      </w:r>
    </w:p>
    <w:bookmarkEnd w:id="24"/>
    <w:bookmarkStart w:id="25" w:name="challenges-in-thailand-bangkok"/>
    <w:p>
      <w:pPr>
        <w:pStyle w:val="Heading2"/>
      </w:pPr>
      <w:r>
        <w:t xml:space="preserve">5. Challenges in Thailand Bangkok</w:t>
      </w:r>
    </w:p>
    <w:p>
      <w:pPr>
        <w:pStyle w:val="FirstParagraph"/>
      </w:pPr>
      <w:r>
        <w:t xml:space="preserve">The specific context of</w:t>
      </w:r>
      <w:r>
        <w:t xml:space="preserve"> </w:t>
      </w:r>
      <w:r>
        <w:rPr>
          <w:bCs/>
          <w:b/>
        </w:rPr>
        <w:t xml:space="preserve">Thailand Bangkok</w:t>
      </w:r>
      <w:r>
        <w:t xml:space="preserve"> </w:t>
      </w:r>
      <w:r>
        <w:t xml:space="preserve">presents unique challenges. These include:</w:t>
      </w:r>
    </w:p>
    <w:p>
      <w:pPr>
        <w:numPr>
          <w:ilvl w:val="0"/>
          <w:numId w:val="1003"/>
        </w:numPr>
        <w:pStyle w:val="Compact"/>
      </w:pPr>
      <w:r>
        <w:rPr>
          <w:bCs/>
          <w:b/>
        </w:rPr>
        <w:t xml:space="preserve">Cultural Nuances:</w:t>
      </w:r>
      <w:r>
        <w:t xml:space="preserve"> </w:t>
      </w:r>
      <w:r>
        <w:t xml:space="preserve">High power distance and indirect communication styles in Thai business culture can sometimes hinder the directness required for rigorous audit questioning.</w:t>
      </w:r>
    </w:p>
    <w:p>
      <w:pPr>
        <w:numPr>
          <w:ilvl w:val="0"/>
          <w:numId w:val="1003"/>
        </w:numPr>
        <w:pStyle w:val="Compact"/>
      </w:pPr>
      <w:r>
        <w:rPr>
          <w:bCs/>
          <w:b/>
        </w:rPr>
        <w:t xml:space="preserve">Rapid Technological Adoption:</w:t>
      </w:r>
      <w:r>
        <w:t xml:space="preserve"> </w:t>
      </w:r>
      <w:r>
        <w:t xml:space="preserve">The speed at which Bangkok-based fintech companies innovate often outpaces the regulatory frameworks governing their audits, creating gray areas for auditors.</w:t>
      </w:r>
    </w:p>
    <w:p>
      <w:pPr>
        <w:numPr>
          <w:ilvl w:val="0"/>
          <w:numId w:val="1003"/>
        </w:numPr>
        <w:pStyle w:val="Compact"/>
      </w:pPr>
      <w:r>
        <w:t xml:space="preserve">&lt;</w:t>
      </w:r>
      <w:r>
        <w:rPr>
          <w:bCs/>
          <w:b/>
        </w:rPr>
        <w:t xml:space="preserve">Talent Retention:</w:t>
      </w:r>
      <w:r>
        <w:t xml:space="preserve">A competitive market in</w:t>
      </w:r>
      <w:r>
        <w:t xml:space="preserve"> </w:t>
      </w:r>
      <w:r>
        <w:rPr>
          <w:bCs/>
          <w:b/>
        </w:rPr>
        <w:t xml:space="preserve">Thailand Bangkok</w:t>
      </w:r>
      <w:r>
        <w:t xml:space="preserve"> </w:t>
      </w:r>
      <w:r>
        <w:t xml:space="preserve">leads to high turnover rates among junior auditors, impacting institutional knowledge and audit consistency.</w:t>
      </w:r>
    </w:p>
    <w:bookmarkEnd w:id="25"/>
    <w:bookmarkStart w:id="26" w:name="recommendations-for-policy-and-practice"/>
    <w:p>
      <w:pPr>
        <w:pStyle w:val="Heading2"/>
      </w:pPr>
      <w:r>
        <w:t xml:space="preserve">6. Recommendations for Policy and Practice</w:t>
      </w:r>
    </w:p>
    <w:p>
      <w:pPr>
        <w:pStyle w:val="FirstParagraph"/>
      </w:pPr>
      <w:r>
        <w:t xml:space="preserve">To enhance the efficacy of the audit profession in</w:t>
      </w:r>
      <w:r>
        <w:t xml:space="preserve"> </w:t>
      </w:r>
      <w:r>
        <w:rPr>
          <w:bCs/>
          <w:b/>
        </w:rPr>
        <w:t xml:space="preserve">Thailand Bangkok</w:t>
      </w:r>
      <w:r>
        <w:t xml:space="preserve">, this presentation proposes several strategic interventions:</w:t>
      </w:r>
    </w:p>
    <w:p>
      <w:pPr>
        <w:pStyle w:val="BodyText"/>
      </w:pPr>
      <w:r>
        <w:rPr>
          <w:bCs/>
          <w:b/>
        </w:rPr>
        <w:t xml:space="preserve">a) Enhanced Continuing Professional Education (CPE):</w:t>
      </w:r>
    </w:p>
    <w:p>
      <w:pPr>
        <w:numPr>
          <w:ilvl w:val="0"/>
          <w:numId w:val="1004"/>
        </w:numPr>
        <w:pStyle w:val="Compact"/>
      </w:pPr>
      <w:r>
        <w:t xml:space="preserve">The Federation of Accounting Professions should mandate specialized CPE courses in data analytics and cybersecurity specifically tailored for the</w:t>
      </w:r>
      <w:r>
        <w:t xml:space="preserve"> </w:t>
      </w:r>
      <w:r>
        <w:rPr>
          <w:bCs/>
          <w:b/>
        </w:rPr>
        <w:t xml:space="preserve">Thailand Bangkok</w:t>
      </w:r>
      <w:r>
        <w:t xml:space="preserve"> </w:t>
      </w:r>
      <w:r>
        <w:t xml:space="preserve">market.</w:t>
      </w:r>
    </w:p>
    <w:p>
      <w:pPr>
        <w:pStyle w:val="FirstParagraph"/>
      </w:pPr>
      <w:r>
        <w:rPr>
          <w:bCs/>
          <w:b/>
        </w:rPr>
        <w:t xml:space="preserve">b) Regulatory Harmonization:</w:t>
      </w:r>
    </w:p>
    <w:p>
      <w:pPr>
        <w:numPr>
          <w:ilvl w:val="0"/>
          <w:numId w:val="1005"/>
        </w:numPr>
        <w:pStyle w:val="Compact"/>
      </w:pPr>
      <w:r>
        <w:t xml:space="preserve">Strengthen collaboration between Thai regulators and international bodies to ensure that audit standards in</w:t>
      </w:r>
      <w:r>
        <w:t xml:space="preserve"> </w:t>
      </w:r>
      <w:r>
        <w:rPr>
          <w:bCs/>
          <w:b/>
        </w:rPr>
        <w:t xml:space="preserve">Thailand Bangkok</w:t>
      </w:r>
      <w:r>
        <w:t xml:space="preserve"> </w:t>
      </w:r>
      <w:r>
        <w:t xml:space="preserve">remain aligned with global shifts, facilitating easier cross-border investment.</w:t>
      </w:r>
    </w:p>
    <w:p>
      <w:pPr>
        <w:pStyle w:val="FirstParagraph"/>
      </w:pPr>
      <w:r>
        <w:rPr>
          <w:bCs/>
          <w:b/>
        </w:rPr>
        <w:t xml:space="preserve">c) Mentorship Programs:</w:t>
      </w:r>
    </w:p>
    <w:p>
      <w:pPr>
        <w:numPr>
          <w:ilvl w:val="0"/>
          <w:numId w:val="1006"/>
        </w:numPr>
        <w:pStyle w:val="Compact"/>
      </w:pPr>
      <w:r>
        <w:t xml:space="preserve">Establish formal mentorship frameworks within audit firms in</w:t>
      </w:r>
      <w:r>
        <w:t xml:space="preserve"> </w:t>
      </w:r>
      <w:r>
        <w:rPr>
          <w:bCs/>
          <w:b/>
        </w:rPr>
        <w:t xml:space="preserve">Thailand Bangkok</w:t>
      </w:r>
      <w:r>
        <w:t xml:space="preserve"> </w:t>
      </w:r>
      <w:r>
        <w:t xml:space="preserve">to retain talent and transfer tacit knowledge from senior auditors to junior staff.</w:t>
      </w:r>
    </w:p>
    <w:bookmarkEnd w:id="26"/>
    <w:bookmarkStart w:id="27" w:name="conclusion"/>
    <w:p>
      <w:pPr>
        <w:pStyle w:val="Heading2"/>
      </w:pPr>
      <w:r>
        <w:t xml:space="preserve">7. Conclusion</w:t>
      </w:r>
    </w:p>
    <w:p>
      <w:pPr>
        <w:pStyle w:val="FirstParagraph"/>
      </w:pPr>
      <w:r>
        <w:t xml:space="preserve">The evolution of the</w:t>
      </w:r>
      <w:r>
        <w:t xml:space="preserve"> </w:t>
      </w:r>
      <w:r>
        <w:rPr>
          <w:bCs/>
          <w:b/>
        </w:rPr>
        <w:t xml:space="preserve">Auditor</w:t>
      </w:r>
      <w:r>
        <w:t xml:space="preserve"> </w:t>
      </w:r>
      <w:r>
        <w:t xml:space="preserve">in</w:t>
      </w:r>
      <w:r>
        <w:t xml:space="preserve"> </w:t>
      </w:r>
      <w:r>
        <w:rPr>
          <w:bCs/>
          <w:b/>
        </w:rPr>
        <w:t xml:space="preserve">Thailand Bangkok</w:t>
      </w:r>
      <w:r>
        <w:t xml:space="preserve"> </w:t>
      </w:r>
      <w:r>
        <w:t xml:space="preserve">is not merely a technical adjustment but a structural transformation driven by technological and societal pressures. As the economic capital of Thailand, Bangkok sets the pace for professional standards in the nation. By addressing skills gaps, leveraging technology effectively, and adapting to cultural nuances, auditors can elevate their role from passive checkers to active guardians of market integrity.</w:t>
      </w:r>
    </w:p>
    <w:p>
      <w:pPr>
        <w:pStyle w:val="BodyText"/>
      </w:pPr>
      <w:r>
        <w:t xml:space="preserve">This</w:t>
      </w:r>
      <w:r>
        <w:t xml:space="preserve"> </w:t>
      </w:r>
      <w:r>
        <w:rPr>
          <w:bCs/>
          <w:b/>
        </w:rPr>
        <w:t xml:space="preserve">Poster Presentation academic</w:t>
      </w:r>
      <w:r>
        <w:t xml:space="preserve"> </w:t>
      </w:r>
      <w:r>
        <w:t xml:space="preserve">document underscores that investing in the professional development of auditors in</w:t>
      </w:r>
      <w:r>
        <w:t xml:space="preserve"> </w:t>
      </w:r>
      <w:r>
        <w:rPr>
          <w:bCs/>
          <w:b/>
        </w:rPr>
        <w:t xml:space="preserve">Thailand Bangkok</w:t>
      </w:r>
      <w:r>
        <w:t xml:space="preserve"> </w:t>
      </w:r>
      <w:r>
        <w:t xml:space="preserve">is crucial for maintaining investor confidence and fostering a robust economic ecosystem in Southeast Asia.</w:t>
      </w:r>
    </w:p>
    <w:bookmarkEnd w:id="27"/>
    <w:p>
      <w:pPr>
        <w:pStyle w:val="BodyText"/>
      </w:pPr>
      <w:r>
        <w:t xml:space="preserve">© 2023 Academic Research Group. All Rights Reserved. Presented at the International Symposium on Accounting and Finance.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Thailand Bangkok</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