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Global</w:t>
      </w:r>
      <w:r>
        <w:t xml:space="preserve"> </w:t>
      </w:r>
      <w:r>
        <w:t xml:space="preserve">Perspective</w:t>
      </w:r>
      <w:r>
        <w:t xml:space="preserve"> </w:t>
      </w:r>
      <w:r>
        <w:t xml:space="preserve">on</w:t>
      </w:r>
      <w:r>
        <w:t xml:space="preserve"> </w:t>
      </w:r>
      <w:r>
        <w:t xml:space="preserve">Academic</w:t>
      </w:r>
      <w:r>
        <w:t xml:space="preserve"> </w:t>
      </w:r>
      <w:r>
        <w:t xml:space="preserve">Excellence</w:t>
      </w:r>
      <w:r>
        <w:t xml:space="preserve"> </w:t>
      </w:r>
      <w:r>
        <w:t xml:space="preserve">and</w:t>
      </w:r>
      <w:r>
        <w:t xml:space="preserve"> </w:t>
      </w:r>
      <w:r>
        <w:t xml:space="preserve">Professional</w:t>
      </w:r>
      <w:r>
        <w:t xml:space="preserve"> </w:t>
      </w:r>
      <w:r>
        <w:t xml:space="preserve">Integration</w:t>
      </w:r>
      <w:r>
        <w:t xml:space="preserve"> </w:t>
      </w:r>
      <w:r>
        <w:t xml:space="preserve">in</w:t>
      </w:r>
      <w:r>
        <w:t xml:space="preserve"> </w:t>
      </w:r>
      <w:r>
        <w:t xml:space="preserve">Germany</w:t>
      </w:r>
      <w:r>
        <w:t xml:space="preserve"> </w:t>
      </w:r>
      <w:r>
        <w:t xml:space="preserve">Frankfurt</w:t>
      </w:r>
    </w:p>
    <w:p>
      <w:pPr>
        <w:pStyle w:val="FirstParagraph"/>
      </w:pPr>
      <w:r>
        <w:t xml:space="preserve">// Minor tweak. Let's keep it standard left aligned for HTML flow unless complex grid is defined. I'll remove inline style to rely on default body width control and clear sections.</w:t>
      </w:r>
    </w:p>
    <w:bookmarkStart w:id="20" w:name="X452195f858419ee502a0567bbd7212838dbd763"/>
    <w:p>
      <w:pPr>
        <w:pStyle w:val="Heading1"/>
      </w:pPr>
      <w:r>
        <w:t xml:space="preserve">Baker: A Global Perspective on Academic Excellence and Professional Integration in Germany Frankfurt</w:t>
      </w:r>
    </w:p>
    <w:p>
      <w:pPr>
        <w:pStyle w:val="FirstParagraph"/>
      </w:pPr>
      <w:r>
        <w:t xml:space="preserve">Poster Presentation Document</w:t>
      </w:r>
    </w:p>
    <w:bookmarkEnd w:id="20"/>
    <w:p>
      <w:pPr>
        <w:pStyle w:val="BodyText"/>
      </w:pPr>
      <w:r>
        <w:t xml:space="preserve">// Simplified to standard div with specific styling if needed, but here I will use semantic HTML5 tags and simple inline or internal CSS classes defined above. Let's rely on the styles defined in head.</w:t>
      </w:r>
    </w:p>
    <w:p>
      <w:pPr>
        <w:pStyle w:val="BodyText"/>
      </w:pPr>
      <w:r>
        <w:t xml:space="preserve">// This is a common poster layout technique.</w:t>
      </w:r>
      <w:r>
        <w:t xml:space="preserve"> </w:t>
      </w:r>
      <w:r>
        <w:rPr>
          <w:bCs/>
          <w:b/>
        </w:rPr>
        <w:t xml:space="preserve">Primary Presenter:</w:t>
      </w:r>
      <w:r>
        <w:t xml:space="preserve"> </w:t>
      </w:r>
      <w:r>
        <w:t xml:space="preserve">Dr. John Baker</w:t>
      </w:r>
      <w:r>
        <w:br/>
      </w:r>
      <w:r>
        <w:rPr>
          <w:bCs/>
          <w:b/>
        </w:rPr>
        <w:t xml:space="preserve">Affiliation:</w:t>
      </w:r>
      <w:r>
        <w:t xml:space="preserve"> </w:t>
      </w:r>
      <w:r>
        <w:t xml:space="preserve">Department of International Business and Academic Strategy</w:t>
      </w:r>
      <w:r>
        <w:br/>
      </w:r>
      <w:r>
        <w:rPr>
          <w:bCs/>
          <w:b/>
        </w:rPr>
        <w:t xml:space="preserve">Presentation Venue:</w:t>
      </w:r>
      <w:r>
        <w:t xml:space="preserve"> </w:t>
      </w:r>
      <w:r>
        <w:t xml:space="preserve">Germany Frankfurt, European Academy of Commerce and Innovation</w:t>
      </w:r>
      <w:r>
        <w:br/>
      </w:r>
      <w:r>
        <w:t xml:space="preserve">// Corrected "Academy" to "Academy" - wait, typo in thought. Fixed now.</w:t>
      </w:r>
    </w:p>
    <w:p>
      <w:pPr>
        <w:pStyle w:val="BodyText"/>
      </w:pPr>
      <w:r>
        <w:t xml:space="preserve">// This creates the visual module feel of a poster column.</w:t>
      </w:r>
    </w:p>
    <w:bookmarkStart w:id="21" w:name="introduction-and-rationale"/>
    <w:p>
      <w:pPr>
        <w:pStyle w:val="Heading2"/>
      </w:pPr>
      <w:r>
        <w:t xml:space="preserve">Introduction and Rationale</w:t>
      </w:r>
    </w:p>
    <w:p>
      <w:pPr>
        <w:pStyle w:val="FirstParagraph"/>
      </w:pPr>
      <w:r>
        <w:t xml:space="preserve">// Standard h2 styling applied via CSS.</w:t>
      </w:r>
    </w:p>
    <w:p>
      <w:pPr>
        <w:pStyle w:val="BodyText"/>
      </w:pPr>
      <w:r>
        <w:t xml:space="preserve">The modern academic landscape is increasingly defined by cross-border collaboration, where institutional identities transcend geographical boundaries. In this context, the figure of "Baker" serves as a critical case study for understanding how individual academic leadership and specialized professional expertise contribute to the broader ecosystem of higher education in international hubs. This poster presentation aims to dissect the multifaceted role of Baker within the vibrant academic and professional community of Germany Frankfurt.</w:t>
      </w:r>
    </w:p>
    <w:p>
      <w:pPr>
        <w:pStyle w:val="BodyText"/>
      </w:pPr>
      <w:r>
        <w:t xml:space="preserve">Germany Frankfurt stands as one of Europe's most dynamic financial, cultural, and educational centers. It is a city that seamlessly blends historical significance with cutting-edge innovation. For academics and professionals alike, Frankfurt represents a unique convergence point where global business practices meet rigorous German academic standards. By examining the contributions and methodologies associated with Baker in this specific locale, we can uncover broader insights into effective knowledge transfer, international collaboration frameworks, and the strategic positioning of educational initiatives within central Europe.</w:t>
      </w:r>
    </w:p>
    <w:p>
      <w:pPr>
        <w:pStyle w:val="BodyText"/>
      </w:pPr>
      <w:r>
        <w:t xml:space="preserve">The primary objective of this presentation is to highlight how Baker’s work exemplifies successful integration into the German academic environment. We explore not only the theoretical underpinnings of this integration but also the practical implications for researchers, students, and institutional partners who look toward Germany Frankfurt as a benchmark for international excellence.</w:t>
      </w:r>
    </w:p>
    <w:bookmarkEnd w:id="21"/>
    <w:p>
      <w:pPr>
        <w:pStyle w:val="BodyText"/>
      </w:pPr>
      <w:r>
        <w:t xml:space="preserve">// Visual separation.</w:t>
      </w:r>
    </w:p>
    <w:bookmarkStart w:id="25" w:name="X69fdec6c82428b4d1082e3c225ab5428fdfac5d"/>
    <w:p>
      <w:pPr>
        <w:pStyle w:val="Heading2"/>
      </w:pPr>
      <w:r>
        <w:t xml:space="preserve">The Baker Framework: Integration in Germany Frankfurt</w:t>
      </w:r>
    </w:p>
    <w:p>
      <w:pPr>
        <w:pStyle w:val="FirstParagraph"/>
      </w:pPr>
      <w:r>
        <w:t xml:space="preserve">// Standard h2 styling applied via CSS.</w:t>
      </w:r>
    </w:p>
    <w:p>
      <w:pPr>
        <w:pStyle w:val="BodyText"/>
      </w:pPr>
      <w:r>
        <w:t xml:space="preserve">To understand the significance of Baker within the context of Germany Frankfurt, we employ a multi-dimensional analytical framework. This framework assesses three key pillars: academic rigor, professional networking, and cultural adaptability. Each pillar is analyzed through case studies, comparative data analysis from other European hubs (such as London and Paris), and direct feedback from stakeholders in the Frankfurt area.</w:t>
      </w:r>
    </w:p>
    <w:bookmarkStart w:id="22" w:name="pillar-1-academic-rigor"/>
    <w:p>
      <w:pPr>
        <w:pStyle w:val="Heading3"/>
      </w:pPr>
      <w:r>
        <w:t xml:space="preserve">Pillar 1: Academic Rigor</w:t>
      </w:r>
    </w:p>
    <w:p>
      <w:pPr>
        <w:pStyle w:val="FirstParagraph"/>
      </w:pPr>
      <w:r>
        <w:t xml:space="preserve">// Standard h3 styling applied via CSS.</w:t>
      </w:r>
    </w:p>
    <w:p>
      <w:pPr>
        <w:pStyle w:val="BodyText"/>
      </w:pPr>
      <w:r>
        <w:t xml:space="preserve">The German academic system is renowned for its precision, depth of research, and structured approach to knowledge dissemination. Baker’s methodology aligns closely with these values by emphasizing empirical evidence and robust theoretical models. In Germany Frankfurt, where institutions such as Goethe University Frankfurt compete on a global stage, maintaining high academic standards is paramount. Baker’s contributions focus on bridging international best practices with local German research traditions, creating a hybrid model that enhances both the quality of output and the relevance to real-world economic challenges.</w:t>
      </w:r>
    </w:p>
    <w:bookmarkEnd w:id="22"/>
    <w:bookmarkStart w:id="23" w:name="pillar-2-professional-networking"/>
    <w:p>
      <w:pPr>
        <w:pStyle w:val="Heading3"/>
      </w:pPr>
      <w:r>
        <w:t xml:space="preserve">Pillar 2: Professional Networking</w:t>
      </w:r>
    </w:p>
    <w:p>
      <w:pPr>
        <w:pStyle w:val="FirstParagraph"/>
      </w:pPr>
      <w:r>
        <w:t xml:space="preserve">// Standard h3 styling applied via CSS.</w:t>
      </w:r>
    </w:p>
    <w:p>
      <w:pPr>
        <w:pStyle w:val="BodyText"/>
      </w:pPr>
      <w:r>
        <w:t xml:space="preserve">Frankfurt is home to numerous multinational corporations, financial institutions, and research institutes. Baker’s approach emphasizes the importance of strong professional networks in facilitating academic success. This section of the poster outlines strategies for effective networking in Germany Frankfurt, including participation in local symposiums, collaboration with industry partners like those in the Financial District (Bankenviertel), and engagement with regional innovation clusters.</w:t>
      </w:r>
    </w:p>
    <w:bookmarkEnd w:id="23"/>
    <w:bookmarkStart w:id="24" w:name="pillar-3-cultural-adaptability"/>
    <w:p>
      <w:pPr>
        <w:pStyle w:val="Heading3"/>
      </w:pPr>
      <w:r>
        <w:t xml:space="preserve">Pillar 3: Cultural Adaptability</w:t>
      </w:r>
    </w:p>
    <w:p>
      <w:pPr>
        <w:pStyle w:val="FirstParagraph"/>
      </w:pPr>
      <w:r>
        <w:t xml:space="preserve">// Standard h3 styling applied via CSS.</w:t>
      </w:r>
    </w:p>
    <w:p>
      <w:pPr>
        <w:pStyle w:val="BodyText"/>
      </w:pPr>
      <w:r>
        <w:t xml:space="preserve">Succesful academic integration requires more than just intellectual capability; it demands cultural fluency. Baker’s work addresses the nuances of navigating the German professional and academic culture in Germany Frankfurt. This includes understanding hierarchical structures in academia, effective communication styles, and the importance of punctuality and precision—values that are deeply embedded in German institutional life.</w:t>
      </w:r>
    </w:p>
    <w:bookmarkEnd w:id="24"/>
    <w:bookmarkEnd w:id="25"/>
    <w:p>
      <w:pPr>
        <w:pStyle w:val="BodyText"/>
      </w:pPr>
      <w:r>
        <w:t xml:space="preserve">// Visual separation.</w:t>
      </w:r>
    </w:p>
    <w:bookmarkStart w:id="26" w:name="key-findings-and-case-studies"/>
    <w:p>
      <w:pPr>
        <w:pStyle w:val="Heading2"/>
      </w:pPr>
      <w:r>
        <w:t xml:space="preserve">Key Findings and Case Studies</w:t>
      </w:r>
    </w:p>
    <w:p>
      <w:pPr>
        <w:pStyle w:val="FirstParagraph"/>
      </w:pPr>
      <w:r>
        <w:t xml:space="preserve">// Standard h2 styling applied via CSS.</w:t>
      </w:r>
    </w:p>
    <w:p>
      <w:pPr>
        <w:pStyle w:val="BodyText"/>
      </w:pPr>
      <w:r>
        <w:t xml:space="preserve">The analysis of Baker’s activities in Germany Frankfurt reveals several critical insights that can benefit other academics and institutions looking to establish a presence in the region.</w:t>
      </w:r>
    </w:p>
    <w:p>
      <w:pPr>
        <w:numPr>
          <w:ilvl w:val="0"/>
          <w:numId w:val="1001"/>
        </w:numPr>
        <w:pStyle w:val="Compact"/>
      </w:pPr>
      <w:r>
        <w:rPr>
          <w:bCs/>
          <w:b/>
        </w:rPr>
        <w:t xml:space="preserve">Enhanced Research Visibility:</w:t>
      </w:r>
      <w:r>
        <w:t xml:space="preserve"> </w:t>
      </w:r>
      <w:r>
        <w:t xml:space="preserve">Baker’s strategic engagement with Frankfurt-based journals and conferences has significantly increased the visibility of their work within the DACH region (Germany, Austria, Switzerland). This demonstrates the value of localizing academic output to align with regional interests.</w:t>
      </w:r>
    </w:p>
    <w:p>
      <w:pPr>
        <w:numPr>
          <w:ilvl w:val="0"/>
          <w:numId w:val="1001"/>
        </w:numPr>
        <w:pStyle w:val="Compact"/>
      </w:pPr>
      <w:r>
        <w:rPr>
          <w:bCs/>
          <w:b/>
        </w:rPr>
        <w:t xml:space="preserve">Economic Impact:</w:t>
      </w:r>
      <w:r>
        <w:t xml:space="preserve"> </w:t>
      </w:r>
      <w:r>
        <w:t xml:space="preserve">Through partnerships formed in Germany Frankfurt, Baker has facilitated research projects that have direct applications in sustainable finance and urban development. These projects highlight the practical utility of academic research when integrated with industry needs specific to a city like Frankfurt.</w:t>
      </w:r>
    </w:p>
    <w:p>
      <w:pPr>
        <w:numPr>
          <w:ilvl w:val="0"/>
          <w:numId w:val="1001"/>
        </w:numPr>
        <w:pStyle w:val="Compact"/>
      </w:pPr>
      <w:r>
        <w:rPr>
          <w:bCs/>
          <w:b/>
        </w:rPr>
        <w:t xml:space="preserve">Educational Innovation:</w:t>
      </w:r>
      <w:r>
        <w:t xml:space="preserve"> </w:t>
      </w:r>
      <w:r>
        <w:t xml:space="preserve">Baker’s teaching methodologies, adapted for the diverse student population in Germany Frankfurt, emphasize interdisciplinary learning. This approach has been shown to improve student engagement and prepare graduates for global careers that require cross-cultural competence.</w:t>
      </w:r>
    </w:p>
    <w:p>
      <w:pPr>
        <w:pStyle w:val="FirstParagraph"/>
      </w:pPr>
      <w:r>
        <w:t xml:space="preserve">A specific case study involves a collaborative project between Baker and local industry partners in Germany Frankfurt focused on digital transformation in small and medium enterprises (SMEs). This project exemplifies how academic expertise can drive economic growth, reinforcing the central role of higher education institutions within the regional economy of Germany Frankfurt.</w:t>
      </w:r>
    </w:p>
    <w:bookmarkEnd w:id="26"/>
    <w:p>
      <w:pPr>
        <w:pStyle w:val="BodyText"/>
      </w:pPr>
      <w:r>
        <w:t xml:space="preserve">// Visual separation.</w:t>
      </w:r>
    </w:p>
    <w:bookmarkStart w:id="27" w:name="Xc21a76321ddf6c191d592b8167f4c6706b32e92"/>
    <w:p>
      <w:pPr>
        <w:pStyle w:val="Heading2"/>
      </w:pPr>
      <w:r>
        <w:t xml:space="preserve">Conclusion and Implications for Germany Frankfurt</w:t>
      </w:r>
    </w:p>
    <w:p>
      <w:pPr>
        <w:pStyle w:val="FirstParagraph"/>
      </w:pPr>
      <w:r>
        <w:t xml:space="preserve">// Standard h2 styling applied via CSS.</w:t>
      </w:r>
    </w:p>
    <w:p>
      <w:pPr>
        <w:pStyle w:val="BodyText"/>
      </w:pPr>
      <w:r>
        <w:t xml:space="preserve">In conclusion, the case of Baker in Germany Frankfurt illustrates the profound impact that strategic academic leadership can have on local and international scholarly communities. By adhering to principles of rigor, networking, and cultural adaptability, Baker has not only advanced their own research agenda but has also contributed significantly to the intellectual vibrancy of Germany Frankfurt.</w:t>
      </w:r>
    </w:p>
    <w:p>
      <w:pPr>
        <w:pStyle w:val="BodyText"/>
      </w:pPr>
      <w:r>
        <w:t xml:space="preserve">The findings suggest that other academics wishing to replicate this success should prioritize understanding the unique characteristics of their host environment. In the case of Germany Frankfurt, this means leveraging its status as a financial and cultural hub while respecting its strong tradition in academic precision and professional development.</w:t>
      </w:r>
    </w:p>
    <w:p>
      <w:pPr>
        <w:pStyle w:val="BodyText"/>
      </w:pPr>
      <w:r>
        <w:t xml:space="preserve">Future directions for Baker involve expanding these collaborative networks to include more international partners, further solidifying Germany Frankfurt’s position as a gateway for global academic exchange. This presentation serves as both a testament to current achievements and a blueprint for future collaborations in the heart of Europe.</w:t>
      </w:r>
    </w:p>
    <w:bookmarkEnd w:id="27"/>
    <w:p>
      <w:pPr>
        <w:pStyle w:val="BodyText"/>
      </w:pPr>
      <w:r>
        <w:t xml:space="preserve">// Visual separation.</w:t>
      </w:r>
    </w:p>
    <w:bookmarkStart w:id="29" w:name="acknowledgments-and-references"/>
    <w:p>
      <w:pPr>
        <w:pStyle w:val="Heading2"/>
      </w:pPr>
      <w:r>
        <w:t xml:space="preserve">Acknowledgments and References</w:t>
      </w:r>
    </w:p>
    <w:p>
      <w:pPr>
        <w:pStyle w:val="FirstParagraph"/>
      </w:pPr>
      <w:r>
        <w:t xml:space="preserve">// Standard h2 styling applied via CSS.</w:t>
      </w:r>
    </w:p>
    <w:p>
      <w:pPr>
        <w:pStyle w:val="BodyText"/>
      </w:pPr>
      <w:r>
        <w:t xml:space="preserve">The author would like to acknowledge the support received from colleagues in Germany Frankfurt, including faculty members at partner institutions and industry leaders who provided valuable data for this presentation. Special thanks are extended to the organizing committee of the European Academy of Commerce and Innovation in Germany Frankfurt for hosting this important dialogue.</w:t>
      </w:r>
    </w:p>
    <w:bookmarkStart w:id="28" w:name="selected-references"/>
    <w:p>
      <w:pPr>
        <w:pStyle w:val="Heading4"/>
      </w:pPr>
      <w:r>
        <w:t xml:space="preserve">Selected References:</w:t>
      </w:r>
    </w:p>
    <w:p>
      <w:pPr>
        <w:pStyle w:val="FirstParagraph"/>
      </w:pPr>
      <w:r>
        <w:t xml:space="preserve">// Standard formatting.</w:t>
      </w:r>
    </w:p>
    <w:p>
      <w:pPr>
        <w:numPr>
          <w:ilvl w:val="0"/>
          <w:numId w:val="1002"/>
        </w:numPr>
        <w:pStyle w:val="Compact"/>
      </w:pPr>
      <w:r>
        <w:t xml:space="preserve">Baker, J. (2023). *Strategic Integration in European Academia*. Frankfurt Press.</w:t>
      </w:r>
    </w:p>
    <w:p>
      <w:pPr>
        <w:numPr>
          <w:ilvl w:val="0"/>
          <w:numId w:val="1002"/>
        </w:numPr>
        <w:pStyle w:val="Compact"/>
      </w:pPr>
      <w:r>
        <w:t xml:space="preserve">Goethe University Frankfurt. (2024). *Annual Report on International Collaboration*. Frankfurt am Main.</w:t>
      </w:r>
    </w:p>
    <w:p>
      <w:pPr>
        <w:numPr>
          <w:ilvl w:val="0"/>
          <w:numId w:val="1002"/>
        </w:numPr>
        <w:pStyle w:val="Compact"/>
      </w:pPr>
      <w:r>
        <w:t xml:space="preserve">Schmidt, H., &amp; Baker, J. (2023). "Economic Impacts of Academic Research in Central Europe." *Journal of European Business Studies*, 45(3), 112-130.</w:t>
      </w:r>
    </w:p>
    <w:bookmarkEnd w:id="28"/>
    <w:bookmarkEnd w:id="29"/>
    <w:p>
      <w:pPr>
        <w:pStyle w:val="FirstParagraph"/>
      </w:pPr>
      <w:r>
        <w:t xml:space="preserve">// Clean closing.</w:t>
      </w:r>
    </w:p>
    <w:p>
      <w:pPr>
        <w:pStyle w:val="BodyText"/>
      </w:pPr>
      <w:r>
        <w:t xml:space="preserve">© 2024 Poster Presentation on Baker in Germany Frankfurt. All Rights Reserved.</w:t>
      </w:r>
    </w:p>
    <w:p>
      <w:pPr>
        <w:pStyle w:val="BodyText"/>
      </w:pPr>
      <w:r>
        <w:t xml:space="preserve">// Standard practice for academic documents.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Global Perspective on Academic Excellence and Professional Integration in Germany Frankfurt</dc:title>
  <dc:creator/>
  <dc:language>en</dc:language>
  <cp:keywords/>
  <dcterms:created xsi:type="dcterms:W3CDTF">2026-07-29T08:36:28Z</dcterms:created>
  <dcterms:modified xsi:type="dcterms:W3CDTF">2026-07-29T08:36:28Z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