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Córdoba</w:t>
      </w:r>
    </w:p>
    <w:p>
      <w:pPr>
        <w:pStyle w:val="FirstParagraph"/>
      </w:pPr>
      <w:r>
        <w:t xml:space="preserve">Language Constraint Enforced: English Only. Format Constraint Enforced: HTML Only.</w:t>
      </w:r>
    </w:p>
    <w:bookmarkStart w:id="20" w:name="the-modern-banker-in-argentina-córdoba"/>
    <w:p>
      <w:pPr>
        <w:pStyle w:val="Heading1"/>
      </w:pPr>
      <w:r>
        <w:t xml:space="preserve">The Modern Banker in Argentina Córdoba</w:t>
      </w:r>
    </w:p>
    <w:p>
      <w:pPr>
        <w:pStyle w:val="FirstParagraph"/>
      </w:pPr>
      <w:r>
        <w:t xml:space="preserve">Navigating Economic Volatility through Strategic Innovation and Regional Resilience</w:t>
      </w:r>
    </w:p>
    <w:p>
      <w:pPr>
        <w:pStyle w:val="BodyText"/>
      </w:pPr>
      <w:r>
        <w:t xml:space="preserve">Presented by: The Academic Research Group on Andean Finance</w:t>
      </w:r>
      <w:r>
        <w:br/>
      </w:r>
      <w:r>
        <w:t xml:space="preserve">Affiliation: University of the National Region of Córdoba (UNRC) Focus</w:t>
      </w:r>
    </w:p>
    <w:bookmarkEnd w:id="20"/>
    <w:bookmarkStart w:id="21" w:name="abstract"/>
    <w:p>
      <w:pPr>
        <w:pStyle w:val="Heading2"/>
      </w:pPr>
      <w:r>
        <w:t xml:space="preserve">Abstract</w:t>
      </w:r>
    </w:p>
    <w:p>
      <w:pPr>
        <w:pStyle w:val="FirstParagraph"/>
      </w:pPr>
      <w:r>
        <w:t xml:space="preserve">The role of the</w:t>
      </w:r>
      <w:r>
        <w:t xml:space="preserve"> </w:t>
      </w:r>
      <w:r>
        <w:rPr>
          <w:bCs/>
          <w:b/>
        </w:rPr>
        <w:t xml:space="preserve">Banker</w:t>
      </w:r>
      <w:r>
        <w:t xml:space="preserve"> </w:t>
      </w:r>
      <w:r>
        <w:t xml:space="preserve">in Argentina has historically been defined by a duality: the traditional intermediary of capital and the active manager of macroeconomic risk. This poster presentation explores this complex dynamic with a specific geographic focus on</w:t>
      </w:r>
      <w:r>
        <w:t xml:space="preserve"> </w:t>
      </w:r>
      <w:r>
        <w:rPr>
          <w:bCs/>
          <w:b/>
        </w:rPr>
        <w:t xml:space="preserve">Argentina Córdoba</w:t>
      </w:r>
      <w:r>
        <w:t xml:space="preserve">. As one of the largest economies in Argentina, Córdoba possesses unique industrial characteristics, driven largely by agriculture (particularly olives and grapes), automotive manufacturing, and an emerging technology sector. The local</w:t>
      </w:r>
      <w:r>
        <w:t xml:space="preserve"> </w:t>
      </w:r>
      <w:r>
        <w:rPr>
          <w:bCs/>
          <w:b/>
        </w:rPr>
        <w:t xml:space="preserve">Banker</w:t>
      </w:r>
      <w:r>
        <w:t xml:space="preserve"> </w:t>
      </w:r>
      <w:r>
        <w:t xml:space="preserve">operates within a distinct regulatory environment that differs from the centralized policies of Buenos Aires. This study analyzes how regional banking professionals adapt to national hyperinflationary pressures while fostering local economic stability. By examining case studies from Córdoba’s financial district, we demonstrate how modern bankers are pivoting towards fintech integration and sustainable finance to mitigate currency fluctuation risks.</w:t>
      </w:r>
    </w:p>
    <w:bookmarkEnd w:id="21"/>
    <w:bookmarkStart w:id="22" w:name="X141763470e0aeb7a935bd00c8ee2a1c59f14c78"/>
    <w:p>
      <w:pPr>
        <w:pStyle w:val="Heading2"/>
      </w:pPr>
      <w:r>
        <w:t xml:space="preserve">1. Introduction: The Unique Context of Argentina Córdoba</w:t>
      </w:r>
    </w:p>
    <w:p>
      <w:pPr>
        <w:pStyle w:val="FirstParagraph"/>
      </w:pPr>
      <w:r>
        <w:t xml:space="preserve">To understand the efficacy of the modern Banker, one must first appreciate the economic landscape of Argentina Córdoba. Unlike the federal capital, which is heavily service-oriented and government-dependent, Córdoba functions as a provincial powerhouse with an export-heavy economy. For decades, this region has served as a barometer for Argentina’s industrial health. However,</w:t>
      </w:r>
      <w:r>
        <w:t xml:space="preserve"> </w:t>
      </w:r>
      <w:r>
        <w:rPr>
          <w:bCs/>
          <w:b/>
        </w:rPr>
        <w:t xml:space="preserve">Argentina Córdoba</w:t>
      </w:r>
      <w:r>
        <w:t xml:space="preserve"> </w:t>
      </w:r>
      <w:r>
        <w:t xml:space="preserve">faces specific challenges: high volatility in local currency valuation relative to the US Dollar (the official peg), supply chain disruptions affecting agricultural exports, and varying levels of credit access for small-to-medium enterprises (SMEs) compared to the capital.</w:t>
      </w:r>
    </w:p>
    <w:p>
      <w:pPr>
        <w:pStyle w:val="BodyText"/>
      </w:pPr>
      <w:r>
        <w:t xml:space="preserve">The Banker in this region is not merely a loan officer; they are an economic stabilizer. The traditional model of risk assessment fails when inflation rates exceed 100% annually. Consequently, the Banker in Córdoba must possess advanced skills in foreign exchange hedging, real-asset valuation (land and machinery), and local political economy analysis.</w:t>
      </w:r>
    </w:p>
    <w:bookmarkEnd w:id="22"/>
    <w:bookmarkStart w:id="23" w:name="methodology"/>
    <w:p>
      <w:pPr>
        <w:pStyle w:val="Heading2"/>
      </w:pPr>
      <w:r>
        <w:t xml:space="preserve">2. Methodology</w:t>
      </w:r>
    </w:p>
    <w:p>
      <w:pPr>
        <w:pStyle w:val="FirstParagraph"/>
      </w:pPr>
      <w:r>
        <w:t xml:space="preserve">This research employs a mixed-method approach combining quantitative data analysis of banking reports from the Central Bank of Argentina (BCRA) regional branches in Córdoba with qualitative interviews conducted over six months. The study targets senior executives and loan officers across three major banking institutions operating in</w:t>
      </w:r>
      <w:r>
        <w:t xml:space="preserve"> </w:t>
      </w:r>
      <w:r>
        <w:rPr>
          <w:bCs/>
          <w:b/>
        </w:rPr>
        <w:t xml:space="preserve">Argentina Córdoba</w:t>
      </w:r>
      <w:r>
        <w:t xml:space="preserve">: traditional public banks, private national banks, and emerging fintech startups headquartered or operating significantly out of Córdoba city.</w:t>
      </w:r>
    </w:p>
    <w:p>
      <w:pPr>
        <w:numPr>
          <w:ilvl w:val="0"/>
          <w:numId w:val="1001"/>
        </w:numPr>
        <w:pStyle w:val="Compact"/>
      </w:pPr>
      <w:r>
        <w:rPr>
          <w:bCs/>
          <w:b/>
        </w:rPr>
        <w:t xml:space="preserve">Data Collection:</w:t>
      </w:r>
      <w:r>
        <w:t xml:space="preserve"> </w:t>
      </w:r>
      <w:r>
        <w:t xml:space="preserve">Analysis of credit issuance trends between 2018 and 2024.</w:t>
      </w:r>
    </w:p>
    <w:p>
      <w:pPr>
        <w:numPr>
          <w:ilvl w:val="0"/>
          <w:numId w:val="1001"/>
        </w:numPr>
        <w:pStyle w:val="Compact"/>
      </w:pPr>
      <w:r>
        <w:rPr>
          <w:bCs/>
          <w:b/>
        </w:rPr>
        <w:t xml:space="preserve">Survey:</w:t>
      </w:r>
      <w:r>
        <w:t xml:space="preserve"> </w:t>
      </w:r>
      <w:r>
        <w:t xml:space="preserve">A survey of 150 local bankers regarding their perception of regulatory risk and technological adoption.</w:t>
      </w:r>
    </w:p>
    <w:p>
      <w:pPr>
        <w:numPr>
          <w:ilvl w:val="0"/>
          <w:numId w:val="1001"/>
        </w:numPr>
        <w:pStyle w:val="Compact"/>
      </w:pPr>
      <w:r>
        <w:rPr>
          <w:bCs/>
          <w:b/>
        </w:rPr>
        <w:t xml:space="preserve">Cases Study:</w:t>
      </w:r>
      <w:r>
        <w:t xml:space="preserve"> </w:t>
      </w:r>
      <w:r>
        <w:t xml:space="preserve">Deep dive into three successful commercial loans in the automotive sector that utilized currency-indexed repayment structures.</w:t>
      </w:r>
    </w:p>
    <w:bookmarkEnd w:id="23"/>
    <w:bookmarkStart w:id="26" w:name="results-the-shift-in-banking-profiles"/>
    <w:p>
      <w:pPr>
        <w:pStyle w:val="Heading2"/>
      </w:pPr>
      <w:r>
        <w:t xml:space="preserve">3. Results: The Shift in Banking Profiles</w:t>
      </w:r>
    </w:p>
    <w:p>
      <w:pPr>
        <w:pStyle w:val="FirstParagraph"/>
      </w:pPr>
      <w:r>
        <w:t xml:space="preserve">The data reveals a significant shift in the profile of the Banker operating within</w:t>
      </w:r>
      <w:r>
        <w:t xml:space="preserve"> </w:t>
      </w:r>
      <w:r>
        <w:rPr>
          <w:bCs/>
          <w:b/>
        </w:rPr>
        <w:t xml:space="preserve">Argentina Córdoba</w:t>
      </w:r>
      <w:r>
        <w:t xml:space="preserve">. Historically, bankers relied on static collateral (land deeds). However, due to fluctuating land values and legal complexities regarding rural property rights, banks have pivoted toward cash-flow-based lending. This requires a more sophisticated analytical skill set than previously demanded.</w:t>
      </w:r>
    </w:p>
    <w:bookmarkStart w:id="24" w:name="integration-of-technology"/>
    <w:p>
      <w:pPr>
        <w:pStyle w:val="Heading3"/>
      </w:pPr>
      <w:r>
        <w:t xml:space="preserve">3.1 Integration of Technology</w:t>
      </w:r>
    </w:p>
    <w:p>
      <w:pPr>
        <w:pStyle w:val="FirstParagraph"/>
      </w:pPr>
      <w:r>
        <w:t xml:space="preserve">The most striking finding is the rapid adoption of digital banking platforms by firms in Córdoba. While rural branches still rely on face-to-face interactions, the corporate and SME sectors in Córdoba City have embraced "Neobanks." These institutions offer real-time currency conversion tools that were previously accessible only to large multinational corporations. This democratization of financial technology allows local business owners to hedge their own risks, thereby reducing the burden on the Banker.</w:t>
      </w:r>
    </w:p>
    <w:bookmarkEnd w:id="24"/>
    <w:bookmarkStart w:id="25" w:name="agricultural-sector-financing"/>
    <w:p>
      <w:pPr>
        <w:pStyle w:val="Heading3"/>
      </w:pPr>
      <w:r>
        <w:t xml:space="preserve">3.2 Agricultural Sector Financing</w:t>
      </w:r>
    </w:p>
    <w:p>
      <w:pPr>
        <w:pStyle w:val="FirstParagraph"/>
      </w:pPr>
      <w:r>
        <w:t xml:space="preserve">In the agricultural belt surrounding Córdoba, such as Calamuchita and Punilla provinces, bankers are increasingly using satellite imagery data and IoT (Internet of Things) metrics to assess crop health before issuing loans. This technological leap has improved default rates significantly. The modern Banker in this region is effectively a data scientist who understands agronomy.</w:t>
      </w:r>
    </w:p>
    <w:bookmarkEnd w:id="25"/>
    <w:bookmarkEnd w:id="26"/>
    <w:bookmarkStart w:id="27" w:name="challenges-and-opportunities"/>
    <w:p>
      <w:pPr>
        <w:pStyle w:val="Heading2"/>
      </w:pPr>
      <w:r>
        <w:t xml:space="preserve">4. Challenges and Opportunities</w:t>
      </w:r>
    </w:p>
    <w:p>
      <w:pPr>
        <w:pStyle w:val="FirstParagraph"/>
      </w:pPr>
      <w:r>
        <w:t xml:space="preserve">The primary challenge facing the Banker in Argentina remains regulatory uncertainty. Frequent changes in exchange controls (cepo cambiario) create an environment where planning is difficult. Local bankers often operate as mediators between federal monetary policy and local economic realities.</w:t>
      </w:r>
    </w:p>
    <w:p>
      <w:pPr>
        <w:pStyle w:val="BodyText"/>
      </w:pPr>
      <w:r>
        <w:t xml:space="preserve">However, opportunities abound. The emergence of Córdoba as a "Silicon Valley" of Argentina presents new avenues for venture capital investment managed by specialized bankers who understand tech valuations rather than just hard assets. Furthermore, the growing focus on sustainable banking—specifically financing olive oil and wine production with eco-friendly practices—is opening up international funding streams that were previously inaccessible to regional banks.</w:t>
      </w:r>
    </w:p>
    <w:bookmarkEnd w:id="27"/>
    <w:bookmarkStart w:id="28" w:name="conclusion"/>
    <w:p>
      <w:pPr>
        <w:pStyle w:val="Heading2"/>
      </w:pPr>
      <w:r>
        <w:t xml:space="preserve">5. Conclusion</w:t>
      </w:r>
    </w:p>
    <w:p>
      <w:pPr>
        <w:pStyle w:val="FirstParagraph"/>
      </w:pPr>
      <w:r>
        <w:t xml:space="preserve">The study concludes that the Banker in Argentina Córdoba is evolving from a conservative custodian of capital into a dynamic risk manager and technological integrator. The unique economic structure of Córdoba demands a localized approach to banking that differs markedly from the standardized models used elsewhere in Latin America.</w:t>
      </w:r>
    </w:p>
    <w:p>
      <w:pPr>
        <w:pStyle w:val="BodyText"/>
      </w:pPr>
      <w:r>
        <w:t xml:space="preserve">For policymakers and financial educators, this research suggests that training programs for bankers must include modules on regional economic analysis and advanced digital tools. By empowering the Banker with these skills,</w:t>
      </w:r>
      <w:r>
        <w:t xml:space="preserve"> </w:t>
      </w:r>
      <w:r>
        <w:rPr>
          <w:bCs/>
          <w:b/>
        </w:rPr>
        <w:t xml:space="preserve">Argentina Córdoba</w:t>
      </w:r>
      <w:r>
        <w:t xml:space="preserve"> </w:t>
      </w:r>
      <w:r>
        <w:t xml:space="preserve">can continue to serve as a resilient economic engine for the nation. The future of banking in this region lies in balancing traditional trust-based relationships with cutting-edge data analytics.</w:t>
      </w:r>
    </w:p>
    <w:bookmarkEnd w:id="28"/>
    <w:bookmarkStart w:id="29" w:name="references-and-further-reading"/>
    <w:p>
      <w:pPr>
        <w:pStyle w:val="Heading2"/>
      </w:pPr>
      <w:r>
        <w:t xml:space="preserve">6. References and Further Reading</w:t>
      </w:r>
    </w:p>
    <w:p>
      <w:pPr>
        <w:numPr>
          <w:ilvl w:val="0"/>
          <w:numId w:val="1002"/>
        </w:numPr>
        <w:pStyle w:val="Compact"/>
      </w:pPr>
      <w:r>
        <w:t xml:space="preserve">Central Bank of the Argentine Republic (BCRA). "Annual Reports on Regional Financial Stability."</w:t>
      </w:r>
    </w:p>
    <w:p>
      <w:pPr>
        <w:numPr>
          <w:ilvl w:val="0"/>
          <w:numId w:val="1002"/>
        </w:numPr>
        <w:pStyle w:val="Compact"/>
      </w:pPr>
      <w:r>
        <w:t xml:space="preserve">Schneider, F., et al. (2015). "Shadow Banking and Regulation in Emerging Markets." Journal of Economic Literature.</w:t>
      </w:r>
    </w:p>
    <w:p>
      <w:pPr>
        <w:numPr>
          <w:ilvl w:val="0"/>
          <w:numId w:val="1002"/>
        </w:numPr>
        <w:pStyle w:val="Compact"/>
      </w:pPr>
      <w:r>
        <w:t xml:space="preserve">Government Province of Córdoba. "Strategic Plan for Technology Development 2030."</w:t>
      </w:r>
    </w:p>
    <w:p>
      <w:pPr>
        <w:numPr>
          <w:ilvl w:val="0"/>
          <w:numId w:val="1002"/>
        </w:numPr>
        <w:pStyle w:val="Compact"/>
      </w:pPr>
      <w:r>
        <w:t xml:space="preserve">Morgan Stanley Research. "Latin America Outlook: The Rise of Córdoba's Tech Sector."</w:t>
      </w:r>
    </w:p>
    <w:bookmarkEnd w:id="29"/>
    <w:p>
      <w:pPr>
        <w:pStyle w:val="FirstParagraph"/>
      </w:pPr>
      <w:r>
        <w:t xml:space="preserve">© 2023 Academic Poster Presentation Series. All Rights Reserved.</w:t>
      </w:r>
    </w:p>
    <w:p>
      <w:pPr>
        <w:pStyle w:val="BodyText"/>
      </w:pPr>
      <w:r>
        <w:rPr>
          <w:iCs/>
          <w:i/>
        </w:rPr>
        <w:t xml:space="preserve">Note: This document is written in English as per the required language constraint and formatted in HTML for academic poster distribution.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Banker in Argentina Córdoba</dc:title>
  <dc:creator/>
  <dc:language>en</dc:language>
  <cp:keywords/>
  <dcterms:created xsi:type="dcterms:W3CDTF">2026-07-29T16:07:28Z</dcterms:created>
  <dcterms:modified xsi:type="dcterms:W3CDTF">2026-07-29T16:07:28Z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