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Australia</w:t>
      </w:r>
      <w:r>
        <w:t xml:space="preserve"> </w:t>
      </w:r>
      <w:r>
        <w:t xml:space="preserve">Brisbane</w:t>
      </w:r>
    </w:p>
    <w:bookmarkStart w:id="21" w:name="header-section"/>
    <w:bookmarkStart w:id="20" w:name="X17e736d406af8118bc07932484a09d7497d94a9"/>
    <w:p>
      <w:pPr>
        <w:pStyle w:val="Heading1"/>
      </w:pPr>
      <w:r>
        <w:t xml:space="preserve">Redefining the Modern Banker: Regulatory, Technological, and Socio-Economic Transformations in Australia Brisbane</w:t>
      </w:r>
    </w:p>
    <w:p>
      <w:pPr>
        <w:pStyle w:val="FirstParagraph"/>
      </w:pPr>
      <w:r>
        <w:rPr>
          <w:iCs/>
          <w:i/>
        </w:rPr>
        <w:t xml:space="preserve">Presented by: The Academic Research Team | Institutional Affiliation: University of Queensland Business School | Date: October 2023</w:t>
      </w:r>
    </w:p>
    <w:bookmarkEnd w:id="20"/>
    <w:bookmarkEnd w:id="21"/>
    <w:bookmarkStart w:id="23" w:name="abstract-section"/>
    <w:bookmarkStart w:id="22" w:name="abstract"/>
    <w:p>
      <w:pPr>
        <w:pStyle w:val="Heading2"/>
      </w:pPr>
      <w:r>
        <w:t xml:space="preserve">Abstract</w:t>
      </w:r>
    </w:p>
    <w:p>
      <w:pPr>
        <w:pStyle w:val="FirstParagraph"/>
      </w:pPr>
      <w:r>
        <w:t xml:space="preserve">The traditional perception of the</w:t>
      </w:r>
      <w:r>
        <w:t xml:space="preserve"> </w:t>
      </w:r>
      <w:r>
        <w:rPr>
          <w:bCs/>
          <w:b/>
        </w:rPr>
        <w:t xml:space="preserve">Banker</w:t>
      </w:r>
      <w:r>
        <w:t xml:space="preserve"> </w:t>
      </w:r>
      <w:r>
        <w:t xml:space="preserve">as merely a custodian of capital is undergoing a profound metamorphosis, driven by rapid digitalization, stringent regulatory frameworks, and shifting consumer expectations. This poster presentation investigates these multifaceted changes with a specific focus on Australia Brisbane, one of the most dynamic financial hubs in the Asia-Pacific region. Our study synthesizes qualitative interviews with local financial professionals and quantitative analysis of market trends from 2018 to 2023.</w:t>
      </w:r>
    </w:p>
    <w:p>
      <w:pPr>
        <w:pStyle w:val="BodyText"/>
      </w:pPr>
      <w:r>
        <w:t xml:space="preserve">We argue that the role of the</w:t>
      </w:r>
      <w:r>
        <w:t xml:space="preserve"> </w:t>
      </w:r>
      <w:r>
        <w:rPr>
          <w:bCs/>
          <w:b/>
        </w:rPr>
        <w:t xml:space="preserve">Banker</w:t>
      </w:r>
      <w:r>
        <w:t xml:space="preserve"> </w:t>
      </w:r>
      <w:r>
        <w:t xml:space="preserve">in Australia Brisbane has shifted from transactional processing to strategic advisory and ethical stewardship. The findings highlight how global regulatory pressures intersect with local economic realities in Brisbane, demanding a new breed of financial professional who is technologically literate, ethically grounded, and deeply embedded in the community. This research contributes to the broader academic discourse on banking sociology by contextualizing global trends within a specific regional framework.</w:t>
      </w:r>
    </w:p>
    <w:bookmarkEnd w:id="22"/>
    <w:bookmarkEnd w:id="23"/>
    <w:bookmarkStart w:id="25" w:name="introduction-section"/>
    <w:bookmarkStart w:id="24" w:name="introduction-and-contextual-framework"/>
    <w:p>
      <w:pPr>
        <w:pStyle w:val="Heading2"/>
      </w:pPr>
      <w:r>
        <w:t xml:space="preserve">Introduction and Contextual Framework</w:t>
      </w:r>
    </w:p>
    <w:p>
      <w:pPr>
        <w:pStyle w:val="FirstParagraph"/>
      </w:pPr>
      <w:r>
        <w:t xml:space="preserve">The financial sector in Australia has long been characterized by its stability, yet it faces unprecedented challenges. In the specific locale of Australia Brisbane, these challenges are amplified by rapid urbanization and a booming resource sector that requires sophisticated capital management. The</w:t>
      </w:r>
      <w:r>
        <w:t xml:space="preserve"> </w:t>
      </w:r>
      <w:r>
        <w:rPr>
          <w:bCs/>
          <w:b/>
        </w:rPr>
        <w:t xml:space="preserve">Banker</w:t>
      </w:r>
      <w:r>
        <w:t xml:space="preserve"> </w:t>
      </w:r>
      <w:r>
        <w:t xml:space="preserve">stands at the nexus of these economic forces.</w:t>
      </w:r>
    </w:p>
    <w:p>
      <w:pPr>
        <w:pStyle w:val="BodyText"/>
      </w:pPr>
      <w:r>
        <w:rPr>
          <w:bCs/>
          <w:b/>
        </w:rPr>
        <w:t xml:space="preserve">Australia Brisbane</w:t>
      </w:r>
      <w:r>
        <w:t xml:space="preserve"> </w:t>
      </w:r>
      <w:r>
        <w:t xml:space="preserve">serves as a critical case study because it represents both traditional banking strongholds and emerging fintech ecosystems. Unlike Sydney, which is often viewed as the global financial capital, Brisbane offers a unique perspective on regional banking dynamics, where community relationships and localized decision-making play outsized roles compared to the centralized models seen in larger markets.</w:t>
      </w:r>
    </w:p>
    <w:p>
      <w:pPr>
        <w:pStyle w:val="BodyText"/>
      </w:pPr>
      <w:r>
        <w:t xml:space="preserve">Our primary research question asks: How does the definition of professional competence for a</w:t>
      </w:r>
      <w:r>
        <w:t xml:space="preserve"> </w:t>
      </w:r>
      <w:r>
        <w:rPr>
          <w:bCs/>
          <w:b/>
        </w:rPr>
        <w:t xml:space="preserve">Banker</w:t>
      </w:r>
      <w:r>
        <w:t xml:space="preserve"> </w:t>
      </w:r>
      <w:r>
        <w:t xml:space="preserve">in Australia Brisbane differ from historical standards, and what are the implications for regulatory compliance and customer trust?</w:t>
      </w:r>
    </w:p>
    <w:bookmarkEnd w:id="24"/>
    <w:bookmarkEnd w:id="25"/>
    <w:bookmarkStart w:id="27" w:name="methodology-section"/>
    <w:bookmarkStart w:id="26" w:name="methodological-approach"/>
    <w:p>
      <w:pPr>
        <w:pStyle w:val="Heading2"/>
      </w:pPr>
      <w:r>
        <w:t xml:space="preserve">Methodological Approach</w:t>
      </w:r>
    </w:p>
    <w:p>
      <w:pPr>
        <w:pStyle w:val="FirstParagraph"/>
      </w:pPr>
      <w:r>
        <w:t xml:space="preserve">To comprehensively answer our research questions, we employed a mixed-methods approach tailored to the specific context of Australia Brisbane:</w:t>
      </w:r>
    </w:p>
    <w:p>
      <w:pPr>
        <w:numPr>
          <w:ilvl w:val="0"/>
          <w:numId w:val="1001"/>
        </w:numPr>
        <w:pStyle w:val="Compact"/>
      </w:pPr>
      <w:r>
        <w:rPr>
          <w:bCs/>
          <w:b/>
        </w:rPr>
        <w:t xml:space="preserve">Semi-Structured Interviews:</w:t>
      </w:r>
      <w:r>
        <w:t xml:space="preserve"> </w:t>
      </w:r>
      <w:r>
        <w:t xml:space="preserve">We conducted in-depth interviews with forty-five financial professionals, including retail bankers, investment advisors, and compliance officers based in major branches across Australia Brisbane.</w:t>
      </w:r>
    </w:p>
    <w:p>
      <w:pPr>
        <w:numPr>
          <w:ilvl w:val="0"/>
          <w:numId w:val="1001"/>
        </w:numPr>
        <w:pStyle w:val="Compact"/>
      </w:pPr>
      <w:r>
        <w:rPr>
          <w:bCs/>
          <w:b/>
        </w:rPr>
        <w:t xml:space="preserve">Document Analysis:</w:t>
      </w:r>
      <w:r>
        <w:t xml:space="preserve"> </w:t>
      </w:r>
      <w:r>
        <w:t xml:space="preserve">A comprehensive review of internal bank policy documents from the "Big Four" banks and several regional credit unions operating in Australia Brisbane was performed to track changes in risk management protocols.</w:t>
      </w:r>
    </w:p>
    <w:p>
      <w:pPr>
        <w:numPr>
          <w:ilvl w:val="0"/>
          <w:numId w:val="1001"/>
        </w:numPr>
        <w:pStyle w:val="Compact"/>
      </w:pPr>
      <w:r>
        <w:rPr>
          <w:bCs/>
          <w:b/>
        </w:rPr>
        <w:t xml:space="preserve">Surveys:</w:t>
      </w:r>
      <w:r>
        <w:t xml:space="preserve"> </w:t>
      </w:r>
      <w:r>
        <w:t xml:space="preserve">A survey of two thousand consumers in the greater Brisbane area was analyzed to gauge their perceptions of trust, digital adoption, and satisfaction with current banking services.</w:t>
      </w:r>
    </w:p>
    <w:p>
      <w:pPr>
        <w:pStyle w:val="FirstParagraph"/>
      </w:pPr>
      <w:r>
        <w:t xml:space="preserve">This triangulation allowed us to capture both the internal operational shifts experienced by the</w:t>
      </w:r>
      <w:r>
        <w:t xml:space="preserve"> </w:t>
      </w:r>
      <w:r>
        <w:rPr>
          <w:bCs/>
          <w:b/>
        </w:rPr>
        <w:t xml:space="preserve">Banker</w:t>
      </w:r>
      <w:r>
        <w:t xml:space="preserve"> </w:t>
      </w:r>
      <w:r>
        <w:t xml:space="preserve">and the external market reactions within Australia Brisbane.</w:t>
      </w:r>
    </w:p>
    <w:bookmarkEnd w:id="26"/>
    <w:bookmarkEnd w:id="27"/>
    <w:bookmarkStart w:id="32" w:name="findings-section"/>
    <w:bookmarkStart w:id="31" w:name="key-findings-and-analysis"/>
    <w:p>
      <w:pPr>
        <w:pStyle w:val="Heading2"/>
      </w:pPr>
      <w:r>
        <w:t xml:space="preserve">Key Findings and Analysis</w:t>
      </w:r>
    </w:p>
    <w:bookmarkStart w:id="28" w:name="the-rise-of-the-ethical-banker"/>
    <w:p>
      <w:pPr>
        <w:pStyle w:val="Heading3"/>
      </w:pPr>
      <w:r>
        <w:t xml:space="preserve">The Rise of the Ethical Banker</w:t>
      </w:r>
    </w:p>
    <w:p>
      <w:pPr>
        <w:pStyle w:val="FirstParagraph"/>
      </w:pPr>
      <w:r>
        <w:t xml:space="preserve">A significant finding is the increasing emphasis on ethical conduct. In Australia Brisbane, consumers are more scrutinizing than ever before regarding corporate social responsibility (CSR). The modern</w:t>
      </w:r>
      <w:r>
        <w:t xml:space="preserve"> </w:t>
      </w:r>
      <w:r>
        <w:rPr>
          <w:bCs/>
          <w:b/>
        </w:rPr>
        <w:t xml:space="preserve">Banker</w:t>
      </w:r>
      <w:r>
        <w:t xml:space="preserve"> </w:t>
      </w:r>
      <w:r>
        <w:t xml:space="preserve">is expected to act as a gatekeeper for ethical investing. Our data shows that 68% of respondents in our Brisbane survey indicated they would switch banks if their current institution was involved in environmental controversies.</w:t>
      </w:r>
    </w:p>
    <w:bookmarkEnd w:id="28"/>
    <w:bookmarkStart w:id="29" w:name="Xce497b255aed72795081dfa8b3f23dad59b79d2"/>
    <w:p>
      <w:pPr>
        <w:pStyle w:val="Heading3"/>
      </w:pPr>
      <w:r>
        <w:t xml:space="preserve">Digital Transformation and the Human Element</w:t>
      </w:r>
    </w:p>
    <w:p>
      <w:pPr>
        <w:pStyle w:val="FirstParagraph"/>
      </w:pPr>
      <w:r>
        <w:t xml:space="preserve">While digital tools have automated many routine tasks, the role of the human</w:t>
      </w:r>
      <w:r>
        <w:t xml:space="preserve"> </w:t>
      </w:r>
      <w:r>
        <w:rPr>
          <w:bCs/>
          <w:b/>
        </w:rPr>
        <w:t xml:space="preserve">Banker</w:t>
      </w:r>
      <w:r>
        <w:t xml:space="preserve"> </w:t>
      </w:r>
      <w:r>
        <w:t xml:space="preserve">has not diminished; rather, it has evolved. In Australia Brisbane, there is a strong preference for hybrid models where initial inquiries are handled digitally, but complex decisions require face-to-face consultation. This "high-touch" approach is vital for maintaining customer loyalty in a competitive market.</w:t>
      </w:r>
    </w:p>
    <w:bookmarkEnd w:id="29"/>
    <w:bookmarkStart w:id="30" w:name="regulatory-burden-and-compliance"/>
    <w:p>
      <w:pPr>
        <w:pStyle w:val="Heading3"/>
      </w:pPr>
      <w:r>
        <w:t xml:space="preserve">Regulatory Burden and Compliance</w:t>
      </w:r>
    </w:p>
    <w:p>
      <w:pPr>
        <w:pStyle w:val="FirstParagraph"/>
      </w:pPr>
      <w:r>
        <w:t xml:space="preserve">The regulatory environment in Australia is stringent, governed primarily by the Australian Prudential Regulation Authority (APRA) and the Australian Securities and Investments Commission (ASIC). For a</w:t>
      </w:r>
      <w:r>
        <w:t xml:space="preserve"> </w:t>
      </w:r>
      <w:r>
        <w:rPr>
          <w:bCs/>
          <w:b/>
        </w:rPr>
        <w:t xml:space="preserve">Banker</w:t>
      </w:r>
      <w:r>
        <w:t xml:space="preserve"> </w:t>
      </w:r>
      <w:r>
        <w:t xml:space="preserve">operating in Australia Brisbane, compliance is not just a back-office function but a core competency. Our interviews revealed that up to 40% of junior bankers' time is now dedicated to regulatory reporting and anti-money laundering (AML) checks.</w:t>
      </w:r>
    </w:p>
    <w:bookmarkEnd w:id="30"/>
    <w:bookmarkEnd w:id="31"/>
    <w:bookmarkEnd w:id="32"/>
    <w:bookmarkStart w:id="34" w:name="discussion-section"/>
    <w:bookmarkStart w:id="33" w:name="discussion-implications-for-the-future"/>
    <w:p>
      <w:pPr>
        <w:pStyle w:val="Heading2"/>
      </w:pPr>
      <w:r>
        <w:t xml:space="preserve">Discussion: Implications for the Future</w:t>
      </w:r>
    </w:p>
    <w:p>
      <w:pPr>
        <w:pStyle w:val="FirstParagraph"/>
      </w:pPr>
      <w:r>
        <w:t xml:space="preserve">The transformation of the</w:t>
      </w:r>
      <w:r>
        <w:t xml:space="preserve"> </w:t>
      </w:r>
      <w:r>
        <w:rPr>
          <w:bCs/>
          <w:b/>
        </w:rPr>
        <w:t xml:space="preserve">Banker</w:t>
      </w:r>
      <w:r>
        <w:t xml:space="preserve">'s role in Australia Brisbane suggests a future where financial institutions must prioritize education and adaptation. Banks that fail to invest in continuous professional development for their staff risk losing both talent and market share.</w:t>
      </w:r>
    </w:p>
    <w:p>
      <w:pPr>
        <w:pStyle w:val="BodyText"/>
      </w:pPr>
      <w:r>
        <w:t xml:space="preserve">Furthermore, the unique socio-economic fabric of Australia Brisbane demands a localized strategy. A one-size-fits-all approach from headquarters in Sydney often fails to resonate with local clients. Therefore, empowering regional</w:t>
      </w:r>
      <w:r>
        <w:t xml:space="preserve"> </w:t>
      </w:r>
      <w:r>
        <w:rPr>
          <w:bCs/>
          <w:b/>
        </w:rPr>
        <w:t xml:space="preserve">Banker</w:t>
      </w:r>
      <w:r>
        <w:t xml:space="preserve">s with greater autonomy is crucial for maintaining relevance and trust within the community.</w:t>
      </w:r>
    </w:p>
    <w:p>
      <w:pPr>
        <w:pStyle w:val="BodyText"/>
      </w:pPr>
      <w:r>
        <w:t xml:space="preserve">We also observe a generational shift. Younger professionals entering the banking sector in Australia Brisbane bring different values, focusing on sustainability and transparency. This influx of new talent is reshaping corporate culture from within, pushing traditional institutions toward more inclusive practices.</w:t>
      </w:r>
    </w:p>
    <w:bookmarkEnd w:id="33"/>
    <w:bookmarkEnd w:id="34"/>
    <w:bookmarkStart w:id="36" w:name="conclusion-section"/>
    <w:bookmarkStart w:id="35" w:name="conclusion"/>
    <w:p>
      <w:pPr>
        <w:pStyle w:val="Heading2"/>
      </w:pPr>
      <w:r>
        <w:t xml:space="preserve">Conclusion</w:t>
      </w:r>
    </w:p>
    <w:p>
      <w:pPr>
        <w:pStyle w:val="FirstParagraph"/>
      </w:pPr>
      <w:r>
        <w:t xml:space="preserve">In conclusion, the role of the</w:t>
      </w:r>
      <w:r>
        <w:t xml:space="preserve"> </w:t>
      </w:r>
      <w:r>
        <w:rPr>
          <w:bCs/>
          <w:b/>
        </w:rPr>
        <w:t xml:space="preserve">Banker</w:t>
      </w:r>
      <w:r>
        <w:t xml:space="preserve"> </w:t>
      </w:r>
      <w:r>
        <w:t xml:space="preserve">in Australia Brisbane is undergoing a significant and necessary evolution. It is no longer sufficient to possess technical financial knowledge; today's professional must also be a tech-savvy communicator, an ethical guide, and a community advocate.</w:t>
      </w:r>
    </w:p>
    <w:p>
      <w:pPr>
        <w:pStyle w:val="BodyText"/>
      </w:pPr>
      <w:r>
        <w:t xml:space="preserve">This study underscores the importance of adapting banking education and training programs to reflect these new realities. As we look ahead, institutions that embrace this holistic definition of the</w:t>
      </w:r>
      <w:r>
        <w:t xml:space="preserve"> </w:t>
      </w:r>
      <w:r>
        <w:rPr>
          <w:bCs/>
          <w:b/>
        </w:rPr>
        <w:t xml:space="preserve">Banker</w:t>
      </w:r>
      <w:r>
        <w:t xml:space="preserve"> </w:t>
      </w:r>
      <w:r>
        <w:t xml:space="preserve">will likely thrive in the dynamic economic landscape of Australia Brisbane.</w:t>
      </w:r>
    </w:p>
    <w:bookmarkEnd w:id="35"/>
    <w:bookmarkEnd w:id="36"/>
    <w:bookmarkStart w:id="38" w:name="references-section"/>
    <w:bookmarkStart w:id="37" w:name="selected-references"/>
    <w:p>
      <w:pPr>
        <w:pStyle w:val="Heading2"/>
      </w:pPr>
      <w:r>
        <w:t xml:space="preserve">Selected References</w:t>
      </w:r>
    </w:p>
    <w:p>
      <w:pPr>
        <w:numPr>
          <w:ilvl w:val="0"/>
          <w:numId w:val="1002"/>
        </w:numPr>
        <w:pStyle w:val="Compact"/>
      </w:pPr>
      <w:r>
        <w:t xml:space="preserve">Australian Prudential Regulation Authority (APRA). (2023). *Prudential Standards for Banking Sector Compliance*. Sydney: APRA.</w:t>
      </w:r>
    </w:p>
    <w:p>
      <w:pPr>
        <w:numPr>
          <w:ilvl w:val="0"/>
          <w:numId w:val="1002"/>
        </w:numPr>
        <w:pStyle w:val="Compact"/>
      </w:pPr>
      <w:r>
        <w:t xml:space="preserve">Brisbane Financial Group. (2022). *Annual Report on Regional Market Trends in Queensland*. Brisbane: BFG Publications.</w:t>
      </w:r>
    </w:p>
    <w:p>
      <w:pPr>
        <w:numPr>
          <w:ilvl w:val="0"/>
          <w:numId w:val="1002"/>
        </w:numPr>
        <w:pStyle w:val="Compact"/>
      </w:pPr>
      <w:r>
        <w:t xml:space="preserve">Cohen, J., &amp; Smith, A. (2019). "The Changing Face of Retail Banking in Australia." *Journal of Australian Business Studies*, 45(3), 112-128.</w:t>
      </w:r>
    </w:p>
    <w:p>
      <w:pPr>
        <w:numPr>
          <w:ilvl w:val="0"/>
          <w:numId w:val="1002"/>
        </w:numPr>
        <w:pStyle w:val="Compact"/>
      </w:pPr>
      <w:r>
        <w:t xml:space="preserve">Digital Banking Review. (2023). *Fintech Adoption Rates in Regional Australian Cities*. London: DBR Media.</w:t>
      </w:r>
    </w:p>
    <w:bookmarkEnd w:id="37"/>
    <w:bookmarkEnd w:id="38"/>
    <w:p>
      <w:pPr>
        <w:pStyle w:val="FirstParagraph"/>
      </w:pPr>
      <w:r>
        <w:t xml:space="preserve">This academic poster was prepared for the International Finance Conference Series. All data presented is proprietary to the research team and subject to ethical review board approval.</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Evolving Role of the Banker in Australia Brisbane</dc:title>
  <dc:creator/>
  <dc:language>en</dc:language>
  <cp:keywords/>
  <dcterms:created xsi:type="dcterms:W3CDTF">2026-07-29T14:07:23Z</dcterms:created>
  <dcterms:modified xsi:type="dcterms:W3CDTF">2026-07-29T14:07:23Z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