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Santiago,</w:t>
      </w:r>
      <w:r>
        <w:t xml:space="preserve"> </w:t>
      </w:r>
      <w:r>
        <w:t xml:space="preserve">Chile</w:t>
      </w:r>
    </w:p>
    <w:bookmarkStart w:id="30" w:name="X06493ae4251e9e9b8e456569ab69daba9b80c77"/>
    <w:p>
      <w:pPr>
        <w:pStyle w:val="Heading1"/>
      </w:pPr>
      <w:r>
        <w:t xml:space="preserve">The Evolving Role of the Banker in Santiago, Chile: Strategic Adaptation to Fintech and Regulatory Shifts</w:t>
      </w:r>
    </w:p>
    <w:p>
      <w:pPr>
        <w:pStyle w:val="FirstParagraph"/>
      </w:pPr>
      <w:r>
        <w:t xml:space="preserve">Presented at the Latin American Academic Forum on Economic Development</w:t>
      </w:r>
      <w:r>
        <w:br/>
      </w:r>
      <w:r>
        <w:t xml:space="preserve">Prepared for dissemination within Santiago de Chile academic and professional circles.</w:t>
      </w:r>
    </w:p>
    <w:bookmarkStart w:id="20" w:name="abstract"/>
    <w:p>
      <w:pPr>
        <w:pStyle w:val="Heading3"/>
      </w:pPr>
      <w:r>
        <w:t xml:space="preserve">Abstract</w:t>
      </w:r>
    </w:p>
    <w:p>
      <w:pPr>
        <w:pStyle w:val="FirstParagraph"/>
      </w:pPr>
      <w:r>
        <w:rPr>
          <w:bCs/>
          <w:b/>
        </w:rPr>
        <w:t xml:space="preserve">Purpose:</w:t>
      </w:r>
    </w:p>
    <w:p>
      <w:pPr>
        <w:pStyle w:val="BodyText"/>
      </w:pPr>
      <w:r>
        <w:t xml:space="preserve">This presentation explores the paradigm shift of the traditional banker in Santiago, Chile, amidst rapid digital transformation. As one of South America's most financially stable nations, Chile offers a unique case study for how banking professionals must adapt to competition from fintech startups and stricter regulatory frameworks imposed by the Superintendency of Banks and Financial Institutions (SBIF).</w:t>
      </w:r>
    </w:p>
    <w:p>
      <w:pPr>
        <w:pStyle w:val="BodyText"/>
      </w:pPr>
      <w:r>
        <w:rPr>
          <w:bCs/>
          <w:b/>
        </w:rPr>
        <w:t xml:space="preserve">Methodology:</w:t>
      </w:r>
    </w:p>
    <w:p>
      <w:pPr>
        <w:pStyle w:val="BodyText"/>
      </w:pPr>
      <w:r>
        <w:t xml:space="preserve">The analysis draws upon qualitative interviews conducted with senior banking officials in the Providencia and Santiago Centro districts, alongside quantitative data regarding digital adoption rates among Chilean consumers from 2018 to 2023.</w:t>
      </w:r>
    </w:p>
    <w:p>
      <w:pPr>
        <w:pStyle w:val="BodyText"/>
      </w:pPr>
      <w:r>
        <w:rPr>
          <w:bCs/>
          <w:b/>
        </w:rPr>
        <w:t xml:space="preserve">Conclusion:</w:t>
      </w:r>
    </w:p>
    <w:p>
      <w:pPr>
        <w:pStyle w:val="BodyText"/>
      </w:pPr>
      <w:r>
        <w:t xml:space="preserve">Results suggest that the role of the banker is shifting from transactional processing to advisory wealth management and technical oversight. Success in Santiago requires a hybrid skill set combining traditional financial acumen with digital literacy.</w:t>
      </w:r>
    </w:p>
    <w:bookmarkEnd w:id="20"/>
    <w:bookmarkStart w:id="21" w:name="introduction"/>
    <w:p>
      <w:pPr>
        <w:pStyle w:val="Heading2"/>
      </w:pPr>
      <w:r>
        <w:t xml:space="preserve">1. Introduction</w:t>
      </w:r>
    </w:p>
    <w:p>
      <w:pPr>
        <w:pStyle w:val="FirstParagraph"/>
      </w:pPr>
      <w:r>
        <w:t xml:space="preserve">The financial landscape of Chile has undergone seismic changes over the last decade. Santiago, as the economic capital and primary hub of Latin American finance, serves as the epicenter for these developments. Historically, "Banker" in this context referred to a custodian of capital—a professional whose value lay primarily in their access to information and physical presence.</w:t>
      </w:r>
    </w:p>
    <w:p>
      <w:pPr>
        <w:pStyle w:val="BodyText"/>
      </w:pPr>
      <w:r>
        <w:t xml:space="preserve">However, recent data indicates that Chile has one of the highest rates of mobile banking adoption in Latin America. This shift forces a re-evaluation of what it means to be a Banker today. The traditional model is being dismantled by user-friendly applications provided by both legacy banks (such as Banco de Chile and Santander) and non-banking fintech disruptors (such as Ualá or Nubank). This presentation aims to define the new competencies required for bankers operating in Santiago to remain relevant.</w:t>
      </w:r>
    </w:p>
    <w:bookmarkEnd w:id="21"/>
    <w:bookmarkStart w:id="22" w:name="contextual-challenges-the-chilean-market"/>
    <w:p>
      <w:pPr>
        <w:pStyle w:val="Heading2"/>
      </w:pPr>
      <w:r>
        <w:t xml:space="preserve">2. Contextual Challenges: The Chilean Market</w:t>
      </w:r>
    </w:p>
    <w:p>
      <w:pPr>
        <w:pStyle w:val="FirstParagraph"/>
      </w:pPr>
      <w:r>
        <w:t xml:space="preserve">The banking sector in Santiago faces distinct challenges that differentiate it from other markets:</w:t>
      </w:r>
    </w:p>
    <w:p>
      <w:pPr>
        <w:numPr>
          <w:ilvl w:val="0"/>
          <w:numId w:val="1001"/>
        </w:numPr>
        <w:pStyle w:val="Compact"/>
      </w:pPr>
      <w:r>
        <w:rPr>
          <w:bCs/>
          <w:b/>
        </w:rPr>
        <w:t xml:space="preserve">Digital Disruption:</w:t>
      </w:r>
      <w:r>
        <w:t xml:space="preserve"> </w:t>
      </w:r>
      <w:r>
        <w:t xml:space="preserve">Fintech companies have entered the Chilean market with aggressive user acquisition strategies. For a Banker to compete, they can no longer rely on convenience alone. They must offer value-added services that apps cannot replicate, such as complex tax structuring for small businesses or personalized inheritance planning.</w:t>
      </w:r>
    </w:p>
    <w:p>
      <w:pPr>
        <w:numPr>
          <w:ilvl w:val="0"/>
          <w:numId w:val="1001"/>
        </w:numPr>
        <w:pStyle w:val="Compact"/>
      </w:pPr>
      <w:r>
        <w:rPr>
          <w:bCs/>
          <w:b/>
        </w:rPr>
        <w:t xml:space="preserve">Regulatory Compliance:</w:t>
      </w:r>
      <w:r>
        <w:t xml:space="preserve"> </w:t>
      </w:r>
      <w:r>
        <w:t xml:space="preserve">The Chilean government has tightened regulations regarding anti-money laundering (AML) and Know Your Customer (KYC) protocols. Bankers are now the first line of defense in compliance, requiring an increased understanding of legal frameworks and digital verification technologies.</w:t>
      </w:r>
    </w:p>
    <w:p>
      <w:pPr>
        <w:numPr>
          <w:ilvl w:val="0"/>
          <w:numId w:val="1001"/>
        </w:numPr>
        <w:pStyle w:val="Compact"/>
      </w:pPr>
      <w:r>
        <w:rPr>
          <w:bCs/>
          <w:b/>
        </w:rPr>
        <w:t xml:space="preserve">Socioeconomic Inequality:</w:t>
      </w:r>
      <w:r>
        <w:t xml:space="preserve"> </w:t>
      </w:r>
      <w:r>
        <w:t xml:space="preserve">Santiago is characterized by stark socioeconomic divides. A critical role for modern bankers is financial inclusion—bridging the gap between high-net-worth individuals in Las Condes and the unbanked populations in peripheral communes. This requires a socially responsible approach to banking.</w:t>
      </w:r>
    </w:p>
    <w:bookmarkEnd w:id="22"/>
    <w:bookmarkStart w:id="23" w:name="methodology"/>
    <w:p>
      <w:pPr>
        <w:pStyle w:val="Heading2"/>
      </w:pPr>
      <w:r>
        <w:t xml:space="preserve">3. Methodology</w:t>
      </w:r>
    </w:p>
    <w:p>
      <w:pPr>
        <w:pStyle w:val="FirstParagraph"/>
      </w:pPr>
      <w:r>
        <w:t xml:space="preserve">To understand the trajectory of this profession, this study utilized a mixed-methods approach focused on Santiago professionals.</w:t>
      </w:r>
    </w:p>
    <w:p>
      <w:pPr>
        <w:pStyle w:val="BodyText"/>
      </w:pPr>
      <w:r>
        <w:rPr>
          <w:bCs/>
          <w:b/>
        </w:rPr>
        <w:t xml:space="preserve">Data Collection:</w:t>
      </w:r>
    </w:p>
    <w:p>
      <w:pPr>
        <w:pStyle w:val="BodyText"/>
      </w:pPr>
      <w:r>
        <w:t xml:space="preserve">Surveys were distributed to 150 financial advisors across three major banks in Chile: BancoEstado (the state-owned bank), Scotiabank, and Itaú. Additionally, semi-structured interviews were conducted with ten chief risk officers and five branch managers located in the Providencia district.</w:t>
      </w:r>
    </w:p>
    <w:p>
      <w:pPr>
        <w:pStyle w:val="BodyText"/>
      </w:pPr>
      <w:r>
        <w:rPr>
          <w:bCs/>
          <w:b/>
        </w:rPr>
        <w:t xml:space="preserve">Data Analysis:</w:t>
      </w:r>
    </w:p>
    <w:p>
      <w:pPr>
        <w:pStyle w:val="BodyText"/>
      </w:pPr>
      <w:r>
        <w:t xml:space="preserve">Quantitative data was analyzed using SPSS to identify trends in skill requirements over time. Qualitative themes were extracted from interview transcripts, focusing on concepts such as "digital empathy," "regulatory burden," and "consultative selling."</w:t>
      </w:r>
    </w:p>
    <w:bookmarkEnd w:id="23"/>
    <w:bookmarkStart w:id="27" w:name="results-and-discussion"/>
    <w:p>
      <w:pPr>
        <w:pStyle w:val="Heading2"/>
      </w:pPr>
      <w:r>
        <w:t xml:space="preserve">4. Results and Discussion</w:t>
      </w:r>
    </w:p>
    <w:bookmarkStart w:id="24" w:name="Xb28755af400a4c79b1cdd4bf331bfa641a8d07f"/>
    <w:p>
      <w:pPr>
        <w:pStyle w:val="Heading4"/>
      </w:pPr>
      <w:r>
        <w:t xml:space="preserve">A. The Shift from Transactional to Advisory</w:t>
      </w:r>
    </w:p>
    <w:p>
      <w:pPr>
        <w:pStyle w:val="FirstParagraph"/>
      </w:pPr>
      <w:r>
        <w:t xml:space="preserve">The most significant finding is the obsolescence of transactional banking roles. With mobile apps handling 90% of routine transactions, branch managers in Santiago report that over 60% of their daily interaction is now consultative. Bankers must act as financial therapists and planners rather than mere tellers or loan processors.</w:t>
      </w:r>
    </w:p>
    <w:bookmarkEnd w:id="24"/>
    <w:bookmarkStart w:id="25" w:name="b.-digital-literacy-as-a-core-competency"/>
    <w:p>
      <w:pPr>
        <w:pStyle w:val="Heading4"/>
      </w:pPr>
      <w:r>
        <w:t xml:space="preserve">B. Digital Literacy as a Core Competency</w:t>
      </w:r>
    </w:p>
    <w:p>
      <w:pPr>
        <w:pStyle w:val="FirstParagraph"/>
      </w:pPr>
      <w:r>
        <w:t xml:space="preserve">The data reveals that bankers who score high on digital literacy assessments also have higher client retention rates. In Santiago, clients expect their bankers to be proficient in explaining the algorithmic basis of investment portfolios and the security measures behind blockchain integrations.</w:t>
      </w:r>
    </w:p>
    <w:bookmarkEnd w:id="25"/>
    <w:bookmarkStart w:id="26" w:name="c.-the-importance-of-soft-skills"/>
    <w:p>
      <w:pPr>
        <w:pStyle w:val="Heading4"/>
      </w:pPr>
      <w:r>
        <w:t xml:space="preserve">C. The Importance of Soft Skills</w:t>
      </w:r>
    </w:p>
    <w:p>
      <w:pPr>
        <w:pStyle w:val="FirstParagraph"/>
      </w:pPr>
      <w:r>
        <w:t xml:space="preserve">In a market where interest rates are standardized by global trends, differentiation comes from service. Chilean culture places high value on personal relationships ("personalismo"). Successful Bankers in Santiago leverage technology to free up time for face-to-face interactions, reinforcing trust and long-term loyalty.</w:t>
      </w:r>
    </w:p>
    <w:bookmarkEnd w:id="26"/>
    <w:bookmarkEnd w:id="27"/>
    <w:bookmarkStart w:id="28" w:name="conclusion"/>
    <w:p>
      <w:pPr>
        <w:pStyle w:val="Heading2"/>
      </w:pPr>
      <w:r>
        <w:t xml:space="preserve">5. Conclusion</w:t>
      </w:r>
    </w:p>
    <w:p>
      <w:pPr>
        <w:pStyle w:val="FirstParagraph"/>
      </w:pPr>
      <w:r>
        <w:t xml:space="preserve">The role of the Banker in Santiago is not disappearing; it is maturing. The future belongs to the "hybrid banker"—a professional who possesses deep technical knowledge of financial markets and regulations, coupled with high emotional intelligence and digital fluency.</w:t>
      </w:r>
    </w:p>
    <w:p>
      <w:pPr>
        <w:pStyle w:val="BodyText"/>
      </w:pPr>
      <w:r>
        <w:rPr>
          <w:bCs/>
          <w:b/>
        </w:rPr>
        <w:t xml:space="preserve">Recommendations for Stakeholders:</w:t>
      </w:r>
    </w:p>
    <w:p>
      <w:pPr>
        <w:numPr>
          <w:ilvl w:val="0"/>
          <w:numId w:val="1002"/>
        </w:numPr>
        <w:pStyle w:val="Compact"/>
      </w:pPr>
      <w:r>
        <w:rPr>
          <w:bCs/>
          <w:b/>
        </w:rPr>
        <w:t xml:space="preserve">Educational Institutions:</w:t>
      </w:r>
      <w:r>
        <w:t xml:space="preserve"> </w:t>
      </w:r>
      <w:r>
        <w:t xml:space="preserve">Universities in Chile must integrate coding, data analysis, and UX design principles into their finance curricula.</w:t>
      </w:r>
    </w:p>
    <w:p>
      <w:pPr>
        <w:numPr>
          <w:ilvl w:val="0"/>
          <w:numId w:val="1002"/>
        </w:numPr>
        <w:pStyle w:val="Compact"/>
      </w:pPr>
      <w:r>
        <w:rPr>
          <w:bCs/>
          <w:b/>
        </w:rPr>
        <w:t xml:space="preserve">Banks:</w:t>
      </w:r>
      <w:r>
        <w:t xml:space="preserve"> </w:t>
      </w:r>
      <w:r>
        <w:t xml:space="preserve">Must invest heavily in continuous training programs for existing staff to prevent skill obsolescence.</w:t>
      </w:r>
    </w:p>
    <w:p>
      <w:pPr>
        <w:numPr>
          <w:ilvl w:val="0"/>
          <w:numId w:val="1002"/>
        </w:numPr>
        <w:pStyle w:val="Compact"/>
      </w:pPr>
      <w:r>
        <w:rPr>
          <w:bCs/>
          <w:b/>
        </w:rPr>
        <w:t xml:space="preserve">Policymakers:</w:t>
      </w:r>
      <w:r>
        <w:t xml:space="preserve"> </w:t>
      </w:r>
      <w:r>
        <w:t xml:space="preserve">Should encourage public-private partnerships that promote financial literacy among the broader Santiago population, ensuring that digital banking tools are accessible to all demographics.</w:t>
      </w:r>
    </w:p>
    <w:p>
      <w:pPr>
        <w:pStyle w:val="FirstParagraph"/>
      </w:pPr>
      <w:r>
        <w:t xml:space="preserve">In summary, while technology changes the "how" of banking in Chile, human expertise remains the "why." The Banker must evolve to become a trusted navigator through an increasingly complex financial ecosystem.</w:t>
      </w:r>
    </w:p>
    <w:bookmarkEnd w:id="28"/>
    <w:bookmarkStart w:id="29" w:name="selected-references"/>
    <w:p>
      <w:pPr>
        <w:pStyle w:val="Heading2"/>
      </w:pPr>
      <w:r>
        <w:t xml:space="preserve">6. Selected References</w:t>
      </w:r>
    </w:p>
    <w:p>
      <w:pPr>
        <w:numPr>
          <w:ilvl w:val="0"/>
          <w:numId w:val="1003"/>
        </w:numPr>
        <w:pStyle w:val="Compact"/>
      </w:pPr>
      <w:r>
        <w:t xml:space="preserve">1. Superintendencia de Bancos e Instituciones Financieras (SBIF). (2023). *Informe Anual sobre Inclusión Financiera en Chile.</w:t>
      </w:r>
    </w:p>
    <w:p>
      <w:pPr>
        <w:numPr>
          <w:ilvl w:val="0"/>
          <w:numId w:val="1003"/>
        </w:numPr>
        <w:pStyle w:val="Compact"/>
      </w:pPr>
      <w:r>
        <w:t xml:space="preserve">2. Central Bank of Chile. (2022). *Financial Stability Report: Digital Transformation Risks.</w:t>
      </w:r>
    </w:p>
    <w:p>
      <w:pPr>
        <w:numPr>
          <w:ilvl w:val="0"/>
          <w:numId w:val="1003"/>
        </w:numPr>
        <w:pStyle w:val="Compact"/>
      </w:pPr>
      <w:r>
        <w:t xml:space="preserve">3. World Bank Group. (2019). *The Global Findex Database: Evidence from Chile and Latin America.</w:t>
      </w:r>
    </w:p>
    <w:p>
      <w:pPr>
        <w:numPr>
          <w:ilvl w:val="0"/>
          <w:numId w:val="1003"/>
        </w:numPr>
        <w:pStyle w:val="Compact"/>
      </w:pPr>
      <w:r>
        <w:t xml:space="preserve">4. Minsal &amp; Superintendencia de Salud Financiera. (2021). *Regulatory Framework for Neobanks in South America.</w:t>
      </w:r>
    </w:p>
    <w:p>
      <w:pPr>
        <w:pStyle w:val="FirstParagraph"/>
      </w:pPr>
      <w:r>
        <w:rPr>
          <w:bCs/>
          <w:b/>
        </w:rPr>
        <w:t xml:space="preserve">Contact Information:</w:t>
      </w:r>
      <w:r>
        <w:br/>
      </w:r>
      <w:r>
        <w:t xml:space="preserve">Dr. Alejandro Soto</w:t>
      </w:r>
      <w:r>
        <w:br/>
      </w:r>
      <w:r>
        <w:t xml:space="preserve">Department of Economics, Universidad de Chile</w:t>
      </w:r>
      <w:r>
        <w:br/>
      </w:r>
      <w:r>
        <w:t xml:space="preserve">Santiago, Chile</w:t>
      </w:r>
      <w:r>
        <w:br/>
      </w:r>
      <w:r>
        <w:t xml:space="preserve">Email: a.soto@finance-chile.org</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Banker in Santiago, Chile</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