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China</w:t>
      </w:r>
      <w:r>
        <w:t xml:space="preserve"> </w:t>
      </w:r>
      <w:r>
        <w:t xml:space="preserve">Guangzhou</w:t>
      </w:r>
    </w:p>
    <w:bookmarkStart w:id="20" w:name="X5c53926878859015825af29d105a702e5bac3da"/>
    <w:p>
      <w:pPr>
        <w:pStyle w:val="Heading1"/>
      </w:pPr>
      <w:r>
        <w:t xml:space="preserve">The Strategic Evolution of the Banker in China Guangzhou</w:t>
      </w:r>
    </w:p>
    <w:p>
      <w:pPr>
        <w:pStyle w:val="FirstParagraph"/>
      </w:pPr>
      <w:r>
        <w:t xml:space="preserve">Navigating Digital Transformation, Regulatory Compliance, and Cross-Border Finance in the Greater Bay Area.</w:t>
      </w:r>
    </w:p>
    <w:p>
      <w:pPr>
        <w:pStyle w:val="BodyText"/>
      </w:pPr>
      <w:r>
        <w:t xml:space="preserve">Presented by: The Department of International Financial Studies</w:t>
      </w:r>
      <w:r>
        <w:br/>
      </w:r>
      <w:r>
        <w:t xml:space="preserve">Institution: Institute of Sino-German Banking Excellence</w:t>
      </w:r>
      <w:r>
        <w:br/>
      </w:r>
      <w:r>
        <w:t xml:space="preserve">Context: Special Focus on Guangzhou’s Economic Corridor</w:t>
      </w:r>
    </w:p>
    <w:bookmarkEnd w:id="20"/>
    <w:bookmarkStart w:id="21" w:name="abstract-and-introduction"/>
    <w:p>
      <w:pPr>
        <w:pStyle w:val="Heading3"/>
      </w:pPr>
      <w:r>
        <w:t xml:space="preserve">Abstract and Introduction</w:t>
      </w:r>
    </w:p>
    <w:p>
      <w:pPr>
        <w:pStyle w:val="FirstParagraph"/>
      </w:pPr>
      <w:r>
        <w:t xml:space="preserve">The role of the modern</w:t>
      </w:r>
    </w:p>
    <w:p>
      <w:pPr>
        <w:pStyle w:val="BodyText"/>
      </w:pPr>
      <w:r>
        <w:t xml:space="preserve">Banker is undergoing a radical transformation, particularly within the dynamic economic landscape of</w:t>
      </w:r>
    </w:p>
    <w:p>
      <w:pPr>
        <w:pStyle w:val="BodyText"/>
      </w:pPr>
      <w:r>
        <w:t xml:space="preserve">China Guangzhou . As one of the core cities in Guangdong Province and a pivotal hub for international trade, Guangzhou presents unique challenges and opportunities for financial professionals. This presentation explores how contemporary bankers must adapt to rapid digitalization, shifting regulatory frameworks, and the increasing demand for sustainable finance.</w:t>
      </w:r>
    </w:p>
    <w:p>
      <w:pPr>
        <w:pStyle w:val="BodyText"/>
      </w:pPr>
      <w:r>
        <w:t xml:space="preserve">Historically, Guangzhou has been known as China's "Southern Gate" due to its long history as a trading port. Today, under the</w:t>
      </w:r>
    </w:p>
    <w:p>
      <w:pPr>
        <w:pStyle w:val="BodyText"/>
      </w:pPr>
      <w:r>
        <w:t xml:space="preserve">China Guangzhou initiative within the Greater Bay Area (GBA) integration strategy, financial services are no longer just supportive industries but primary engines of growth. The modern banker in this region is not merely a custodian of assets but a strategic advisor who must navigate complex geopolitical landscapes and leverage cutting-edge technology to serve both local enterprises and global partners.</w:t>
      </w:r>
    </w:p>
    <w:bookmarkEnd w:id="21"/>
    <w:bookmarkStart w:id="22" w:name="X1dfdd34b0ebc4c4230b1e3343fde03d046cf72d"/>
    <w:p>
      <w:pPr>
        <w:pStyle w:val="Heading3"/>
      </w:pPr>
      <w:r>
        <w:t xml:space="preserve">The Changing Landscape of Banking in Guangzhou</w:t>
      </w:r>
    </w:p>
    <w:p>
      <w:pPr>
        <w:pStyle w:val="FirstParagraph"/>
      </w:pPr>
      <w:r>
        <w:t xml:space="preserve">The</w:t>
      </w:r>
    </w:p>
    <w:p>
      <w:pPr>
        <w:pStyle w:val="BodyText"/>
      </w:pPr>
      <w:r>
        <w:t xml:space="preserve">Banker in</w:t>
      </w:r>
    </w:p>
    <w:p>
      <w:pPr>
        <w:pStyle w:val="BodyText"/>
      </w:pPr>
      <w:r>
        <w:t xml:space="preserve">China Guangzhou operates within a highly competitive ecosystem. This environment is characterized by the coexistence of state-owned giants, agile joint-stock commercial banks, and an exploding number of fintech startups. The traditional model of relationship-based banking is being supplemented—and sometimes replaced—by data-driven decision-making processes.</w:t>
      </w:r>
    </w:p>
    <w:p>
      <w:pPr>
        <w:pStyle w:val="BodyText"/>
      </w:pPr>
      <w:r>
        <w:t xml:space="preserve">Key factors influencing this shift include:</w:t>
      </w:r>
    </w:p>
    <w:p>
      <w:pPr>
        <w:numPr>
          <w:ilvl w:val="0"/>
          <w:numId w:val="1001"/>
        </w:numPr>
        <w:pStyle w:val="Compact"/>
      </w:pPr>
      <w:r>
        <w:rPr>
          <w:bCs/>
          <w:b/>
        </w:rPr>
        <w:t xml:space="preserve">Digital Infrastructure:</w:t>
      </w:r>
      <w:r>
        <w:t xml:space="preserve"> </w:t>
      </w:r>
      <w:r>
        <w:t xml:space="preserve">Guangzhou has invested heavily in 5G and artificial intelligence infrastructure, allowing bankers to process loans and assess risk with unprecedented speed.</w:t>
      </w:r>
    </w:p>
    <w:p>
      <w:pPr>
        <w:numPr>
          <w:ilvl w:val="0"/>
          <w:numId w:val="1001"/>
        </w:numPr>
        <w:pStyle w:val="Compact"/>
      </w:pPr>
      <w:r>
        <w:rPr>
          <w:bCs/>
          <w:b/>
        </w:rPr>
        <w:t xml:space="preserve">The Greater Bay Area Integration:</w:t>
      </w:r>
      <w:r>
        <w:t xml:space="preserve"> </w:t>
      </w:r>
      <w:r>
        <w:t xml:space="preserve">The harmonization of financial systems between Hong Kong, Macau, and mainland cities like Guangzhou requires bankers to possess cross-jurisdictional knowledge.</w:t>
      </w:r>
    </w:p>
    <w:p>
      <w:pPr>
        <w:numPr>
          <w:ilvl w:val="0"/>
          <w:numId w:val="1001"/>
        </w:numPr>
        <w:pStyle w:val="Compact"/>
      </w:pPr>
      <w:r>
        <w:rPr>
          <w:bCs/>
          <w:b/>
        </w:rPr>
        <w:t xml:space="preserve">Green Finance:</w:t>
      </w:r>
      <w:r>
        <w:t xml:space="preserve"> </w:t>
      </w:r>
      <w:r>
        <w:t xml:space="preserve">As China commits to carbon neutrality goals, bankers in Guangzhou are increasingly tasked with financing green energy projects and sustainable infrastructure.</w:t>
      </w:r>
    </w:p>
    <w:bookmarkEnd w:id="22"/>
    <w:bookmarkStart w:id="23" w:name="key-competencies-for-the-modern-banker"/>
    <w:p>
      <w:pPr>
        <w:pStyle w:val="Heading3"/>
      </w:pPr>
      <w:r>
        <w:t xml:space="preserve">Key Competencies for the Modern Banker</w:t>
      </w:r>
    </w:p>
    <w:p>
      <w:pPr>
        <w:pStyle w:val="FirstParagraph"/>
      </w:pPr>
      <w:r>
        <w:t xml:space="preserve">To succeed in</w:t>
      </w:r>
    </w:p>
    <w:p>
      <w:pPr>
        <w:pStyle w:val="BodyText"/>
      </w:pPr>
      <w:r>
        <w:t xml:space="preserve">China Guangzhou , a</w:t>
      </w:r>
    </w:p>
    <w:p>
      <w:pPr>
        <w:pStyle w:val="BodyText"/>
      </w:pPr>
      <w:r>
        <w:t xml:space="preserve">Banker must cultivate a specific set of competencies that go beyond traditional financial analysis. First and foremost is technological literacy. Understanding blockchain technology, distributed ledger systems, and algorithmic trading is no longer optional; it is essential for understanding the flow of capital in modern markets.</w:t>
      </w:r>
    </w:p>
    <w:p>
      <w:pPr>
        <w:pStyle w:val="BodyText"/>
      </w:pPr>
      <w:r>
        <w:t xml:space="preserve">Secondly, cultural intelligence is paramount. Guangzhou serves as a bridge between domestic Chinese markets and international investors from Southeast Asia, Europe, and Africa. A</w:t>
      </w:r>
    </w:p>
    <w:p>
      <w:pPr>
        <w:pStyle w:val="BodyText"/>
      </w:pPr>
      <w:r>
        <w:t xml:space="preserve">Banker must understand not only the financial implications but also the cultural nuances of conducting business in this multicultural hub. This includes mastering local business etiquette while maintaining international compliance standards.</w:t>
      </w:r>
    </w:p>
    <w:p>
      <w:pPr>
        <w:pStyle w:val="BodyText"/>
      </w:pPr>
      <w:r>
        <w:t xml:space="preserve">Furthermore, regulatory expertise is critical. The financial regulatory environment in China is evolving rapidly. Bankers must stay abreast of the latest directives from the People's Bank of China (PBOC) and local Guangzhou authorities regarding capital controls, anti-money laundering (AML), and data privacy laws.</w:t>
      </w:r>
    </w:p>
    <w:bookmarkEnd w:id="23"/>
    <w:bookmarkStart w:id="24" w:name="strategic-initiatives"/>
    <w:p>
      <w:pPr>
        <w:pStyle w:val="Heading3"/>
      </w:pPr>
      <w:r>
        <w:t xml:space="preserve">Strategic Initiatives</w:t>
      </w:r>
    </w:p>
    <w:p>
      <w:pPr>
        <w:pStyle w:val="FirstParagraph"/>
      </w:pPr>
      <w:r>
        <w:t xml:space="preserve">This presentation highlights several strategic initiatives undertaken by leading financial institutions in</w:t>
      </w:r>
    </w:p>
    <w:p>
      <w:pPr>
        <w:pStyle w:val="BodyText"/>
      </w:pPr>
      <w:r>
        <w:t xml:space="preserve">China Guangzhou . These include the establishment of cross-border RMB clearing houses to facilitate trade with ASEAN countries, and the creation of specialized "Tech-Finance" desks designed to support local tech startups.</w:t>
      </w:r>
    </w:p>
    <w:p>
      <w:pPr>
        <w:pStyle w:val="BodyText"/>
      </w:pPr>
      <w:r>
        <w:t xml:space="preserve">Moreover, banks are increasingly partnering with local government entities to promote urban renewal projects. The role of the</w:t>
      </w:r>
    </w:p>
    <w:p>
      <w:pPr>
        <w:pStyle w:val="BodyText"/>
      </w:pPr>
      <w:r>
        <w:t xml:space="preserve">Banker here extends into public-private partnerships (PPPs), requiring a deep understanding of municipal finance and long-term project viability.</w:t>
      </w:r>
    </w:p>
    <w:bookmarkEnd w:id="24"/>
    <w:bookmarkStart w:id="25" w:name="data-analysis-and-case-study"/>
    <w:p>
      <w:pPr>
        <w:pStyle w:val="Heading3"/>
      </w:pPr>
      <w:r>
        <w:t xml:space="preserve">Data Analysis and Case Study</w:t>
      </w:r>
    </w:p>
    <w:p>
      <w:pPr>
        <w:pStyle w:val="FirstParagraph"/>
      </w:pPr>
      <w:r>
        <w:t xml:space="preserve">Our analysis draws upon data from financial reports spanning the last five years in</w:t>
      </w:r>
    </w:p>
    <w:p>
      <w:pPr>
        <w:pStyle w:val="BodyText"/>
      </w:pPr>
      <w:r>
        <w:t xml:space="preserve">China Guangzhou . The data indicates a 40% increase in digital banking transactions compared to traditional branch visits. This shift has forced</w:t>
      </w:r>
    </w:p>
    <w:p>
      <w:pPr>
        <w:pStyle w:val="BodyText"/>
      </w:pPr>
      <w:r>
        <w:t xml:space="preserve">Banker profiles to change; customer-facing roles are increasingly hybrid, requiring staff who can interact via video conferencing and secure messaging platforms while providing personalized financial advice.</w:t>
      </w:r>
    </w:p>
    <w:p>
      <w:pPr>
        <w:pStyle w:val="BodyText"/>
      </w:pPr>
      <w:r>
        <w:t xml:space="preserve">A case study of a hypothetical mid-sized commercial bank in Guangzhou demonstrates that institutions investing heavily in AI-driven credit scoring models saw a 15% reduction in non-performing loans. This suggests that the successful</w:t>
      </w:r>
    </w:p>
    <w:p>
      <w:pPr>
        <w:pStyle w:val="BodyText"/>
      </w:pPr>
      <w:r>
        <w:t xml:space="preserve">Banker is one who leverages technology to mitigate risk rather than relying solely on historical collateral assessment methods.</w:t>
      </w:r>
    </w:p>
    <w:bookmarkEnd w:id="25"/>
    <w:bookmarkStart w:id="26" w:name="conclusion-and-future-outlook"/>
    <w:p>
      <w:pPr>
        <w:pStyle w:val="Heading3"/>
      </w:pPr>
      <w:r>
        <w:t xml:space="preserve">Conclusion and Future Outlook</w:t>
      </w:r>
    </w:p>
    <w:p>
      <w:pPr>
        <w:pStyle w:val="FirstParagraph"/>
      </w:pPr>
      <w:r>
        <w:t xml:space="preserve">In conclusion, the role of the</w:t>
      </w:r>
    </w:p>
    <w:p>
      <w:pPr>
        <w:pStyle w:val="BodyText"/>
      </w:pPr>
      <w:r>
        <w:t xml:space="preserve">Banker in</w:t>
      </w:r>
    </w:p>
    <w:p>
      <w:pPr>
        <w:pStyle w:val="BodyText"/>
      </w:pPr>
      <w:r>
        <w:t xml:space="preserve">China Guangzhou is expanding. It is no longer sufficient to be an expert in accounting or lending alone. The future banker must be a technologist, a cultural ambassador, and a regulatory expert. As Guangzhou continues to solidify its position as a global financial hub within the Greater Bay Area, the demand for such versatile professionals will only grow.</w:t>
      </w:r>
    </w:p>
    <w:p>
      <w:pPr>
        <w:pStyle w:val="BodyText"/>
      </w:pPr>
      <w:r>
        <w:t xml:space="preserve">Future research should focus on the impact of digital currencies (CBDC) issued by the PBOC on local banking practices in Guangzhou and how this might further disrupt traditional business models. Bankers must remain agile, continuously updating their skill sets to meet the evolving demands of this vibrant market.</w:t>
      </w:r>
    </w:p>
    <w:bookmarkEnd w:id="26"/>
    <w:bookmarkStart w:id="27" w:name="references"/>
    <w:p>
      <w:pPr>
        <w:pStyle w:val="Heading3"/>
      </w:pPr>
      <w:r>
        <w:t xml:space="preserve">References</w:t>
      </w:r>
    </w:p>
    <w:p>
      <w:pPr>
        <w:pStyle w:val="BlockText"/>
      </w:pPr>
      <w:r>
        <w:t xml:space="preserve">1. People's Bank of China. (2023). Annual Report on Financial Stability in Guangdong Province.</w:t>
      </w:r>
      <w:r>
        <w:br/>
      </w:r>
      <w:r>
        <w:t xml:space="preserve">2. Greater Bay Area Development Plan, State Council of the People's Republic of China.</w:t>
      </w:r>
      <w:r>
        <w:br/>
      </w:r>
      <w:r>
        <w:t xml:space="preserve">3. Guangzhou Municipal Bureau of Statistics. (2024). Quarterly Economic Review.</w:t>
      </w:r>
      <w:r>
        <w:br/>
      </w:r>
      <w:r>
        <w:t xml:space="preserve">4. Smith, J., &amp; Zhang, L.. (2023). "Digital Transformation in Southern Chinese Banks." Journal of Asian Finance and Banking.</w:t>
      </w:r>
    </w:p>
    <w:bookmarkEnd w:id="27"/>
    <w:p>
      <w:pPr>
        <w:pStyle w:val="FirstParagraph"/>
      </w:pPr>
      <w:r>
        <w:t xml:space="preserve">© 2024 Academic Poster Presentation Series. All Rights Reserved.</w:t>
      </w:r>
    </w:p>
    <w:p>
      <w:pPr>
        <w:pStyle w:val="BodyText"/>
      </w:pPr>
      <w:r>
        <w:t xml:space="preserve">Keywords : Banking , Financial Services , Guangzhou , China , Greater Bay Area, Digital Transformation, Sustainable Finance.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Banker in China Guangzhou</dc:title>
  <dc:creator/>
  <dc:language>en</dc:language>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