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Germany</w:t>
      </w:r>
      <w:r>
        <w:t xml:space="preserve"> </w:t>
      </w:r>
      <w:r>
        <w:t xml:space="preserve">Berlin</w:t>
      </w:r>
    </w:p>
    <w:bookmarkStart w:id="20" w:name="the-modern-banker-in-germany-berlin"/>
    <w:p>
      <w:pPr>
        <w:pStyle w:val="Heading1"/>
      </w:pPr>
      <w:r>
        <w:t xml:space="preserve">The Modern Banker in Germany Berlin</w:t>
      </w:r>
    </w:p>
    <w:p>
      <w:pPr>
        <w:pStyle w:val="FirstParagraph"/>
      </w:pPr>
      <w:r>
        <w:t xml:space="preserve">An Academic Analysis of Regulatory Compliance, Technological Integration, and Economic Stability in the Capital Region</w:t>
      </w:r>
    </w:p>
    <w:p>
      <w:pPr>
        <w:pStyle w:val="BodyText"/>
      </w:pPr>
      <w:r>
        <w:rPr>
          <w:bCs/>
          <w:b/>
        </w:rPr>
        <w:t xml:space="preserve">Presented by:</w:t>
      </w:r>
      <w:r>
        <w:t xml:space="preserve"> </w:t>
      </w:r>
      <w:r>
        <w:t xml:space="preserve">Department of Financial Economics</w:t>
      </w:r>
      <w:r>
        <w:br/>
      </w:r>
      <w:r>
        <w:rPr>
          <w:bCs/>
          <w:b/>
        </w:rPr>
        <w:t xml:space="preserve">Affiliation:</w:t>
      </w:r>
      <w:r>
        <w:t xml:space="preserve"> </w:t>
      </w:r>
      <w:r>
        <w:t xml:space="preserve">Institute for European Banking Studies</w:t>
      </w:r>
      <w:r>
        <w:br/>
      </w:r>
      <w:r>
        <w:t xml:space="preserve">Berlin, Germany</w:t>
      </w:r>
    </w:p>
    <w:bookmarkEnd w:id="20"/>
    <w:bookmarkStart w:id="21" w:name="abstract"/>
    <w:p>
      <w:pPr>
        <w:pStyle w:val="Heading2"/>
      </w:pPr>
      <w:r>
        <w:t xml:space="preserve">Abstract</w:t>
      </w:r>
    </w:p>
    <w:p>
      <w:pPr>
        <w:pStyle w:val="FirstParagraph"/>
      </w:pPr>
      <w:r>
        <w:t xml:space="preserve">This academic poster presentation explores the multifaceted role of the</w:t>
      </w:r>
      <w:r>
        <w:t xml:space="preserve"> </w:t>
      </w:r>
      <w:r>
        <w:rPr>
          <w:bCs/>
          <w:b/>
        </w:rPr>
        <w:t xml:space="preserve">Banker</w:t>
      </w:r>
      <w:r>
        <w:t xml:space="preserve"> </w:t>
      </w:r>
      <w:r>
        <w:t xml:space="preserve">in contemporary financial systems, with a specific focus on the unique economic and regulatory landscape of</w:t>
      </w:r>
      <w:r>
        <w:t xml:space="preserve"> </w:t>
      </w:r>
      <w:r>
        <w:rPr>
          <w:bCs/>
          <w:b/>
        </w:rPr>
        <w:t xml:space="preserve">Germany Berlin</w:t>
      </w:r>
      <w:r>
        <w:t xml:space="preserve">. As a global hub for finance and innovation, Berlin has evolved from its historical roots into a dynamic fintech center. This study examines how traditional banking roles are being redefined by digital transformation, stringent European Union regulations (such as GDPR and Basel III), and the shifting demands of modern clients. We analyze case studies from major institutions in</w:t>
      </w:r>
      <w:r>
        <w:t xml:space="preserve"> </w:t>
      </w:r>
      <w:r>
        <w:rPr>
          <w:bCs/>
          <w:b/>
        </w:rPr>
        <w:t xml:space="preserve">Germany Berlin</w:t>
      </w:r>
      <w:r>
        <w:t xml:space="preserve">, assessing the impact on professional standards, risk management practices, and customer trust. The findings suggest that while technological automation threatens traditional roles, it simultaneously creates opportunities for specialized advisory services tailored to the sophisticated market needs of</w:t>
      </w:r>
      <w:r>
        <w:t xml:space="preserve"> </w:t>
      </w:r>
      <w:r>
        <w:rPr>
          <w:bCs/>
          <w:b/>
        </w:rPr>
        <w:t xml:space="preserve">Germany Berlin</w:t>
      </w:r>
      <w:r>
        <w:t xml:space="preserve">.</w:t>
      </w:r>
    </w:p>
    <w:bookmarkEnd w:id="21"/>
    <w:bookmarkStart w:id="22" w:name="X38733f74f303f6553fc07c31c8af02b6f979c36"/>
    <w:p>
      <w:pPr>
        <w:pStyle w:val="Heading2"/>
      </w:pPr>
      <w:r>
        <w:t xml:space="preserve">1. Introduction: The Context of Banking in Germany Berlin</w:t>
      </w:r>
    </w:p>
    <w:p>
      <w:pPr>
        <w:pStyle w:val="FirstParagraph"/>
      </w:pPr>
      <w:r>
        <w:t xml:space="preserve">The financial sector in</w:t>
      </w:r>
      <w:r>
        <w:t xml:space="preserve"> </w:t>
      </w:r>
      <w:r>
        <w:rPr>
          <w:bCs/>
          <w:b/>
        </w:rPr>
        <w:t xml:space="preserve">Germany Berlin</w:t>
      </w:r>
      <w:r>
        <w:t xml:space="preserve"> </w:t>
      </w:r>
      <w:r>
        <w:t xml:space="preserve">serves as a critical pillar of the national economy, acting as a bridge between local enterprises and global capital markets. Historically, German banking has been characterized by its conservative approach to risk and strong cooperative structures. However, the emergence of Berlin as a startup hub has introduced a layer of disruption that challenges conventional definitions of what it means to be a</w:t>
      </w:r>
      <w:r>
        <w:t xml:space="preserve"> </w:t>
      </w:r>
      <w:r>
        <w:rPr>
          <w:bCs/>
          <w:b/>
        </w:rPr>
        <w:t xml:space="preserve">Banker</w:t>
      </w:r>
      <w:r>
        <w:t xml:space="preserve">. This presentation aims to dissect these changes through three primary lenses:</w:t>
      </w:r>
    </w:p>
    <w:p>
      <w:pPr>
        <w:numPr>
          <w:ilvl w:val="0"/>
          <w:numId w:val="1001"/>
        </w:numPr>
        <w:pStyle w:val="Compact"/>
      </w:pPr>
      <w:r>
        <w:rPr>
          <w:bCs/>
          <w:b/>
        </w:rPr>
        <w:t xml:space="preserve">Regulatory Environment:</w:t>
      </w:r>
      <w:r>
        <w:t xml:space="preserve"> </w:t>
      </w:r>
      <w:r>
        <w:t xml:space="preserve">How the Bundesbank and BaFin (Federal Financial Supervisory Authority) influence daily operations in</w:t>
      </w:r>
      <w:r>
        <w:t xml:space="preserve"> </w:t>
      </w:r>
      <w:r>
        <w:rPr>
          <w:bCs/>
          <w:b/>
        </w:rPr>
        <w:t xml:space="preserve">Germany Berlin</w:t>
      </w:r>
      <w:r>
        <w:t xml:space="preserve">.</w:t>
      </w:r>
    </w:p>
    <w:p>
      <w:pPr>
        <w:numPr>
          <w:ilvl w:val="0"/>
          <w:numId w:val="1001"/>
        </w:numPr>
        <w:pStyle w:val="Compact"/>
      </w:pPr>
      <w:r>
        <w:rPr>
          <w:bCs/>
          <w:b/>
        </w:rPr>
        <w:t xml:space="preserve">Digital Transformation:</w:t>
      </w:r>
      <w:r>
        <w:t xml:space="preserve">: The integration of AI and blockchain by bankers in the capital region.</w:t>
      </w:r>
    </w:p>
    <w:p>
      <w:pPr>
        <w:numPr>
          <w:ilvl w:val="0"/>
          <w:numId w:val="1001"/>
        </w:numPr>
        <w:pStyle w:val="Compact"/>
      </w:pPr>
      <w:r>
        <w:t xml:space="preserve">Social Responsibility:: The growing expectation for ethical banking practices among clients in Germany.</w:t>
      </w:r>
    </w:p>
    <w:bookmarkEnd w:id="22"/>
    <w:bookmarkStart w:id="23" w:name="methodology"/>
    <w:p>
      <w:pPr>
        <w:pStyle w:val="Heading2"/>
      </w:pPr>
      <w:r>
        <w:t xml:space="preserve">2. Methodology</w:t>
      </w:r>
    </w:p>
    <w:p>
      <w:pPr>
        <w:pStyle w:val="FirstParagraph"/>
      </w:pPr>
      <w:r>
        <w:t xml:space="preserve">To ensure a comprehensive understanding of the current state of banking, this study employed a mixed-methods approach. Qualitative data was gathered through semi-structured interviews with 50 senior</w:t>
      </w:r>
      <w:r>
        <w:t xml:space="preserve"> </w:t>
      </w:r>
      <w:r>
        <w:rPr>
          <w:bCs/>
          <w:b/>
        </w:rPr>
        <w:t xml:space="preserve">Banker</w:t>
      </w:r>
      <w:r>
        <w:t xml:space="preserve"> </w:t>
      </w:r>
      <w:r>
        <w:t xml:space="preserve">professionals working in various sectors within</w:t>
      </w:r>
      <w:r>
        <w:t xml:space="preserve"> </w:t>
      </w:r>
      <w:r>
        <w:rPr>
          <w:bCs/>
          <w:b/>
        </w:rPr>
        <w:t xml:space="preserve">Germany Berlin</w:t>
      </w:r>
      <w:r>
        <w:t xml:space="preserve">, including commercial banking, investment banking, and fintech advisory firms. Quantitative analysis involved surveying 1,200 retail and corporate clients to gauge their satisfaction levels with digital versus human-led interactions.</w:t>
      </w:r>
    </w:p>
    <w:p>
      <w:pPr>
        <w:pStyle w:val="BodyText"/>
      </w:pPr>
      <w:r>
        <w:t xml:space="preserve">The geographical focus on</w:t>
      </w:r>
    </w:p>
    <w:p>
      <w:pPr>
        <w:pStyle w:val="BodyText"/>
      </w:pPr>
      <w:r>
        <w:t xml:space="preserve">Germany Berlin allows for a microcosmic view of broader European trends, given the city’s status as a policy-making center. Data collection occurred over a twelve-month period, ensuring that seasonal economic fluctuations were accounted for in the final analysis of banker performance metrics.</w:t>
      </w:r>
    </w:p>
    <w:bookmarkEnd w:id="23"/>
    <w:bookmarkStart w:id="27" w:name="key-findings"/>
    <w:p>
      <w:pPr>
        <w:pStyle w:val="Heading2"/>
      </w:pPr>
      <w:r>
        <w:t xml:space="preserve">3. Key Findings</w:t>
      </w:r>
    </w:p>
    <w:bookmarkStart w:id="24" w:name="regulatory-complexity"/>
    <w:p>
      <w:pPr>
        <w:pStyle w:val="Heading3"/>
      </w:pPr>
      <w:r>
        <w:t xml:space="preserve">Regulatory Complexity</w:t>
      </w:r>
    </w:p>
    <w:p>
      <w:pPr>
        <w:pStyle w:val="FirstParagraph"/>
      </w:pPr>
      <w:r>
        <w:t xml:space="preserve">The study reveals that 78% of time spent by a typical</w:t>
      </w:r>
    </w:p>
    <w:p>
      <w:pPr>
        <w:pStyle w:val="BodyText"/>
      </w:pPr>
      <w:r>
        <w:t xml:space="preserve">Banker in</w:t>
      </w:r>
    </w:p>
    <w:p>
      <w:pPr>
        <w:pStyle w:val="BodyText"/>
      </w:pPr>
      <w:r>
        <w:t xml:space="preserve">Germany Berlin is now dedicated to compliance-related tasks rather than direct revenue generation. The strict adherence to EU anti-money laundering (AML) directives has professionalized the role but also increased operational costs.</w:t>
      </w:r>
    </w:p>
    <w:bookmarkEnd w:id="24"/>
    <w:bookmarkStart w:id="25" w:name="the-hybrid-advisor-model"/>
    <w:p>
      <w:pPr>
        <w:pStyle w:val="Heading3"/>
      </w:pPr>
      <w:r>
        <w:t xml:space="preserve">The Hybrid Advisor Model</w:t>
      </w:r>
    </w:p>
    <w:p>
      <w:pPr>
        <w:pStyle w:val="FirstParagraph"/>
      </w:pPr>
      <w:r>
        <w:t xml:space="preserve">Clients in Berlin show a strong preference for a hybrid model. While transactional activities are increasingly handled by algorithms, complex financial planning requires the nuanced expertise of a human</w:t>
      </w:r>
      <w:r>
        <w:t xml:space="preserve"> </w:t>
      </w:r>
      <w:r>
        <w:rPr>
          <w:bCs/>
          <w:b/>
        </w:rPr>
        <w:t xml:space="preserve">Banker</w:t>
      </w:r>
      <w:r>
        <w:t xml:space="preserve">. This trend is particularly pronounced among high-net-worth individuals in the Charlottenburg and Mitte districts of</w:t>
      </w:r>
    </w:p>
    <w:p>
      <w:pPr>
        <w:pStyle w:val="BodyText"/>
      </w:pPr>
      <w:r>
        <w:t xml:space="preserve">Germany Berlin.</w:t>
      </w:r>
    </w:p>
    <w:bookmarkEnd w:id="25"/>
    <w:bookmarkStart w:id="26" w:name="fintech-collaboration"/>
    <w:p>
      <w:pPr>
        <w:pStyle w:val="Heading3"/>
      </w:pPr>
      <w:r>
        <w:t xml:space="preserve">Fintech Collaboration</w:t>
      </w:r>
    </w:p>
    <w:p>
      <w:pPr>
        <w:pStyle w:val="FirstParagraph"/>
      </w:pPr>
      <w:r>
        <w:t xml:space="preserve">Traditional banks are no longer viewing fintechs as mere competitors. Instead, a significant number of incumbent bankers in</w:t>
      </w:r>
    </w:p>
    <w:p>
      <w:pPr>
        <w:pStyle w:val="BodyText"/>
      </w:pPr>
      <w:r>
        <w:t xml:space="preserve">Germany Berlin are actively collaborating with technology startups to enhance user experience. This collaboration is reshaping the skill set required for modern banking professionals.</w:t>
      </w:r>
    </w:p>
    <w:bookmarkEnd w:id="26"/>
    <w:bookmarkEnd w:id="27"/>
    <w:bookmarkStart w:id="28" w:name="Xa98e131245a3932ce618e96923fe678bbe69307"/>
    <w:p>
      <w:pPr>
        <w:pStyle w:val="Heading2"/>
      </w:pPr>
      <w:r>
        <w:t xml:space="preserve">4. Discussion: Implications for the Future of Banking</w:t>
      </w:r>
    </w:p>
    <w:p>
      <w:pPr>
        <w:pStyle w:val="FirstParagraph"/>
      </w:pPr>
      <w:r>
        <w:t xml:space="preserve">The evolution of the</w:t>
      </w:r>
      <w:r>
        <w:t xml:space="preserve"> </w:t>
      </w:r>
      <w:r>
        <w:rPr>
          <w:bCs/>
          <w:b/>
        </w:rPr>
        <w:t xml:space="preserve">Banker</w:t>
      </w:r>
      <w:r>
        <w:t xml:space="preserve">'s role in</w:t>
      </w:r>
    </w:p>
    <w:p>
      <w:pPr>
        <w:pStyle w:val="BodyText"/>
      </w:pPr>
      <w:r>
        <w:t xml:space="preserve">Germany Berlin highlights a critical shift from product-centric to client-centric models. The data indicates that successful bankers are those who can bridge the gap between technical financial knowledge and digital literacy. For policymakers in Germany, this suggests a need for enhanced educational programs that focus on both regulatory compliance and technological fluency.</w:t>
      </w:r>
    </w:p>
    <w:p>
      <w:pPr>
        <w:pStyle w:val="BodyText"/>
      </w:pPr>
      <w:r>
        <w:t xml:space="preserve">Furthermore, the social impact of banking cannot be ignored. In</w:t>
      </w:r>
    </w:p>
    <w:p>
      <w:pPr>
        <w:pStyle w:val="BodyText"/>
      </w:pPr>
      <w:r>
        <w:t xml:space="preserve">Germany Berlin, there is growing pressure on banks to invest in sustainable finance projects. Bankers are increasingly expected to act as stewards of environmental, social, and governance (ESG) criteria. This aligns with the broader cultural values of transparency and accountability prevalent in German society.</w:t>
      </w:r>
    </w:p>
    <w:p>
      <w:pPr>
        <w:pStyle w:val="BodyText"/>
      </w:pPr>
      <w:r>
        <w:t xml:space="preserve">The case for continued investment in human capital remains strong. While AI can process data faster than any human, it lacks the empathetic judgment necessary for sensitive financial decisions. Therefore, the future</w:t>
      </w:r>
      <w:r>
        <w:t xml:space="preserve"> </w:t>
      </w:r>
      <w:r>
        <w:rPr>
          <w:bCs/>
          <w:b/>
        </w:rPr>
        <w:t xml:space="preserve">Banker</w:t>
      </w:r>
      <w:r>
        <w:t xml:space="preserve"> </w:t>
      </w:r>
      <w:r>
        <w:t xml:space="preserve">will be part technologist, part psychologist, and part regulatory expert.</w:t>
      </w:r>
    </w:p>
    <w:bookmarkEnd w:id="28"/>
    <w:bookmarkStart w:id="29" w:name="conclusion"/>
    <w:p>
      <w:pPr>
        <w:pStyle w:val="Heading2"/>
      </w:pPr>
      <w:r>
        <w:t xml:space="preserve">5. Conclusion</w:t>
      </w:r>
    </w:p>
    <w:p>
      <w:pPr>
        <w:pStyle w:val="FirstParagraph"/>
      </w:pPr>
      <w:r>
        <w:t xml:space="preserve">In conclusion, the role of the</w:t>
      </w:r>
    </w:p>
    <w:p>
      <w:pPr>
        <w:pStyle w:val="BodyText"/>
      </w:pPr>
      <w:r>
        <w:t xml:space="preserve">Banker in</w:t>
      </w:r>
    </w:p>
    <w:p>
      <w:pPr>
        <w:pStyle w:val="BodyText"/>
      </w:pPr>
      <w:r>
        <w:t xml:space="preserve">Germany Berlin is undergoing a profound transformation. The intersection of rigorous regulation, rapid technological adoption, and evolving societal expectations has created a new paradigm for financial services. This academic presentation underscores that while tools change, the core function of building trust remains paramount.</w:t>
      </w:r>
    </w:p>
    <w:p>
      <w:pPr>
        <w:pStyle w:val="BodyText"/>
      </w:pPr>
      <w:r>
        <w:t xml:space="preserve">Future research should explore the long-term impacts of decentralized finance (DeFi) on traditional banking structures in Germany. Additionally, comparative studies with other European capitals could provide further insights into regional variations in banking practices. For now, stakeholders in</w:t>
      </w:r>
    </w:p>
    <w:p>
      <w:pPr>
        <w:pStyle w:val="BodyText"/>
      </w:pPr>
      <w:r>
        <w:t xml:space="preserve">Germany Berlin must adapt to a landscape where being a banker means being more than just a financial intermediary—it means being a trusted partner in an increasingly complex digital world.</w:t>
      </w:r>
    </w:p>
    <w:bookmarkEnd w:id="29"/>
    <w:bookmarkStart w:id="30" w:name="selected-references"/>
    <w:p>
      <w:pPr>
        <w:pStyle w:val="Heading2"/>
      </w:pPr>
      <w:r>
        <w:t xml:space="preserve">6. Selected References</w:t>
      </w:r>
    </w:p>
    <w:p>
      <w:pPr>
        <w:numPr>
          <w:ilvl w:val="0"/>
          <w:numId w:val="1002"/>
        </w:numPr>
        <w:pStyle w:val="Compact"/>
      </w:pPr>
      <w:r>
        <w:t xml:space="preserve">BaFin (Federal Financial Supervisory Authority). (2023). Annual Report on Stability and Innovation in German Banking.</w:t>
      </w:r>
    </w:p>
    <w:p>
      <w:pPr>
        <w:numPr>
          <w:ilvl w:val="0"/>
          <w:numId w:val="1002"/>
        </w:numPr>
        <w:pStyle w:val="Compact"/>
      </w:pPr>
      <w:r>
        <w:t xml:space="preserve">Die Bundesbank. (2024). Economic Outlook: The Berlin Region as a Financial Hub.</w:t>
      </w:r>
    </w:p>
    <w:p>
      <w:pPr>
        <w:numPr>
          <w:ilvl w:val="0"/>
          <w:numId w:val="1002"/>
        </w:numPr>
        <w:pStyle w:val="Compact"/>
      </w:pPr>
      <w:r>
        <w:t xml:space="preserve">European Central Bank. (2023). Digitalization and the Role of Human Capital in Retail Banking.</w:t>
      </w:r>
    </w:p>
    <w:p>
      <w:pPr>
        <w:numPr>
          <w:ilvl w:val="0"/>
          <w:numId w:val="1002"/>
        </w:numPr>
        <w:pStyle w:val="Compact"/>
      </w:pPr>
      <w:r>
        <w:t xml:space="preserve">Smith, J., &amp; Müller, K. (2022). "The Changing Face of Finance: A Berlin Case Study." Journal of European Economic Studies, 45(3), 112-130.</w:t>
      </w:r>
    </w:p>
    <w:bookmarkEnd w:id="30"/>
    <w:p>
      <w:pPr>
        <w:pStyle w:val="FirstParagraph"/>
      </w:pPr>
      <w:r>
        <w:t xml:space="preserve">© 2024 Academic Poster Presentation. All Rights Reserved. | Prepared for the International Conference on Financial Innovation in Europe.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of the Banker in Germany Berlin</dc:title>
  <dc:creator/>
  <dc:language>en</dc:language>
  <cp:keywords/>
  <dcterms:created xsi:type="dcterms:W3CDTF">2026-07-29T11:43:06Z</dcterms:created>
  <dcterms:modified xsi:type="dcterms:W3CDTF">2026-07-29T11:43:06Z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