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Poster</w:t>
      </w:r>
      <w:r>
        <w:t xml:space="preserve"> </w:t>
      </w:r>
      <w:r>
        <w:t xml:space="preserve">Presentation</w:t>
      </w:r>
    </w:p>
    <w:bookmarkStart w:id="20" w:name="the-modern-banker-in-germany-frankfurt"/>
    <w:p>
      <w:pPr>
        <w:pStyle w:val="Heading1"/>
      </w:pPr>
      <w:r>
        <w:t xml:space="preserve">The Modern Banker in Germany Frankfurt</w:t>
      </w:r>
    </w:p>
    <w:p>
      <w:pPr>
        <w:pStyle w:val="FirstParagraph"/>
      </w:pPr>
      <w:r>
        <w:t xml:space="preserve">Navigating Regulatory Complexity, Digital Transformation, and Sustainable Finance in the European Financial Heartland</w:t>
      </w:r>
    </w:p>
    <w:p>
      <w:pPr>
        <w:pStyle w:val="BodyText"/>
      </w:pPr>
      <w:r>
        <w:rPr>
          <w:bCs/>
          <w:b/>
        </w:rPr>
        <w:t xml:space="preserve">Presentation by:</w:t>
      </w:r>
      <w:r>
        <w:t xml:space="preserve"> </w:t>
      </w:r>
      <w:r>
        <w:t xml:space="preserve">Academic Research Group on European Banking Systems</w:t>
      </w:r>
      <w:r>
        <w:br/>
      </w:r>
      <w:r>
        <w:rPr>
          <w:bCs/>
          <w:b/>
        </w:rPr>
        <w:t xml:space="preserve">Institution:</w:t>
      </w:r>
      <w:r>
        <w:t xml:space="preserve"> </w:t>
      </w:r>
      <w:r>
        <w:t xml:space="preserve">Institute of International Finance &amp; Economics</w:t>
      </w:r>
      <w:r>
        <w:br/>
      </w:r>
      <w:r>
        <w:rPr>
          <w:bCs/>
          <w:b/>
        </w:rPr>
        <w:t xml:space="preserve">Date:</w:t>
      </w:r>
      <w:r>
        <w:t xml:space="preserve"> </w:t>
      </w:r>
      <w:r>
        <w:t xml:space="preserve">October 2023 Conference Series, Germany Frankfurt</w:t>
      </w:r>
    </w:p>
    <w:p>
      <w:pPr>
        <w:pStyle w:val="BodyText"/>
      </w:pPr>
      <w:r>
        <w:t xml:space="preserve">[Figure 1. The Frankfurt Skyline and the European Central Bank Headquarters]</w:t>
      </w:r>
    </w:p>
    <w:bookmarkEnd w:id="20"/>
    <w:bookmarkStart w:id="21" w:name="abstract"/>
    <w:p>
      <w:pPr>
        <w:pStyle w:val="Heading2"/>
      </w:pPr>
      <w:r>
        <w:t xml:space="preserve">Abstract</w:t>
      </w:r>
    </w:p>
    <w:p>
      <w:pPr>
        <w:pStyle w:val="FirstParagraph"/>
      </w:pPr>
      <w:r>
        <w:t xml:space="preserve">As the financial capital of Germany and a pivotal hub for Europe, Germany Frankfurt represents a unique intersection of traditional banking heritage and cutting-edge fintech innovation. This Poster Presentation academic document explores the evolving role of the modern Banker within this specific geopolitical and economic context. We analyze how Bankers in Germany Frankfurt are adapting to stringent regulatory frameworks imposed by the European Central Bank (ECB), the rise of digital assets, and the urgent demand for sustainable finance. Our findings suggest that success in this market requires a tripartite skill set: rigorous regulatory compliance, technological fluency, and ethical stewardship.</w:t>
      </w:r>
    </w:p>
    <w:bookmarkEnd w:id="21"/>
    <w:bookmarkStart w:id="22" w:name="introduction"/>
    <w:p>
      <w:pPr>
        <w:pStyle w:val="Heading2"/>
      </w:pPr>
      <w:r>
        <w:t xml:space="preserve">Introduction</w:t>
      </w:r>
    </w:p>
    <w:p>
      <w:pPr>
        <w:pStyle w:val="FirstParagraph"/>
      </w:pPr>
      <w:r>
        <w:t xml:space="preserve">The identity of the Banker has undergone a radical transformation in the last decade. No longer merely custodians of capital, Bankers are now strategic advisors, data analysts, and compliance officers. In Germany Frankfurt, this transformation is accelerated by its status as one of the two headquarters locations for the European Central Bank (ECB). Consequently, a Banker operating in Germany Frankfurt operates under intense scrutiny and high expectations.</w:t>
      </w:r>
    </w:p>
    <w:p>
      <w:pPr>
        <w:pStyle w:val="BodyText"/>
      </w:pPr>
      <w:r>
        <w:t xml:space="preserve">This presentation aims to dissect the contemporary profile of a successful Banker in this region. We argue that while global trends affect all financial centers, the specific regulatory and cultural nuances of Germany Frankfurt create a distinct professional archetype. The Banker here is not just an individual but a critical node in the stability of the Eurozone.</w:t>
      </w:r>
    </w:p>
    <w:bookmarkEnd w:id="22"/>
    <w:bookmarkStart w:id="24" w:name="regulatory-environment"/>
    <w:bookmarkStart w:id="23" w:name="X581ef6ea9adbdb5df8aeb112589ea9e365f3dd8"/>
    <w:p>
      <w:pPr>
        <w:pStyle w:val="Heading2"/>
      </w:pPr>
      <w:r>
        <w:t xml:space="preserve">The Regulatory Landscape: A Critical Skill for the Banker</w:t>
      </w:r>
    </w:p>
    <w:p>
      <w:pPr>
        <w:pStyle w:val="FirstParagraph"/>
      </w:pPr>
      <w:r>
        <w:t xml:space="preserve">The most defining characteristic of banking in Germany Frankfurt is its regulatory density. As a primary supervisor for significant eurozone banks, Frankfurt requires every Banker to possess deep knowledge of Basel III/IV frameworks, MiFID II directives, and GDPR compliance.</w:t>
      </w:r>
    </w:p>
    <w:p>
      <w:pPr>
        <w:numPr>
          <w:ilvl w:val="0"/>
          <w:numId w:val="1001"/>
        </w:numPr>
        <w:pStyle w:val="Compact"/>
      </w:pPr>
      <w:r>
        <w:rPr>
          <w:bCs/>
          <w:b/>
        </w:rPr>
        <w:t xml:space="preserve">Compliance as Culture:</w:t>
      </w:r>
      <w:r>
        <w:t xml:space="preserve"> </w:t>
      </w:r>
      <w:r>
        <w:t xml:space="preserve">For the modern Banker in Germany Frankfurt, compliance is not a back-office function but a core competency. A failure to adhere to regulations can result in severe reputational damage and financial penalties.</w:t>
      </w:r>
    </w:p>
    <w:p>
      <w:pPr>
        <w:numPr>
          <w:ilvl w:val="0"/>
          <w:numId w:val="1001"/>
        </w:numPr>
        <w:pStyle w:val="Compact"/>
      </w:pPr>
      <w:r>
        <w:rPr>
          <w:bCs/>
          <w:b/>
        </w:rPr>
        <w:t xml:space="preserve">The ECB Influence:</w:t>
      </w:r>
      <w:r>
        <w:t xml:space="preserve"> </w:t>
      </w:r>
      <w:r>
        <w:t xml:space="preserve">Proximity to the ECB means that Bankers must stay abreast of macroeconomic policy shifts instantly. The Banker acts as a translator between central bank policy and client strategy.</w:t>
      </w:r>
    </w:p>
    <w:p>
      <w:pPr>
        <w:numPr>
          <w:ilvl w:val="0"/>
          <w:numId w:val="1001"/>
        </w:numPr>
        <w:pStyle w:val="Compact"/>
      </w:pPr>
      <w:r>
        <w:rPr>
          <w:bCs/>
          <w:b/>
        </w:rPr>
        <w:t xml:space="preserve">Anti-Money Laundering (AML):</w:t>
      </w:r>
      <w:r>
        <w:t xml:space="preserve"> </w:t>
      </w:r>
      <w:r>
        <w:t xml:space="preserve">Germany has tightened its AML laws significantly. A competent Banker in this region must implement robust Know Your Customer (KYC) protocols, ensuring that the integrity of the German financial system is maintained.</w:t>
      </w:r>
    </w:p>
    <w:bookmarkEnd w:id="23"/>
    <w:bookmarkEnd w:id="24"/>
    <w:bookmarkStart w:id="26" w:name="digital-transformation"/>
    <w:bookmarkStart w:id="25" w:name="Xbc1d47106519f80c3edd7c27af21b4cf818660a"/>
    <w:p>
      <w:pPr>
        <w:pStyle w:val="Heading2"/>
      </w:pPr>
      <w:r>
        <w:t xml:space="preserve">Digital Transformation and Fintech Integration</w:t>
      </w:r>
    </w:p>
    <w:p>
      <w:pPr>
        <w:pStyle w:val="FirstParagraph"/>
      </w:pPr>
      <w:r>
        <w:t xml:space="preserve">The traditional image of the Banker in Germany Frankfurt—suited, reserved, and paper-based—is obsolete. The city is experiencing a boom in Fintech startups. The modern Banker must bridge the gap between legacy banking systems and agile technological solutions.</w:t>
      </w:r>
    </w:p>
    <w:p>
      <w:pPr>
        <w:numPr>
          <w:ilvl w:val="0"/>
          <w:numId w:val="1002"/>
        </w:numPr>
        <w:pStyle w:val="Compact"/>
      </w:pPr>
      <w:r>
        <w:rPr>
          <w:bCs/>
          <w:b/>
        </w:rPr>
        <w:t xml:space="preserve">Digital Literacy:</w:t>
      </w:r>
      <w:r>
        <w:t xml:space="preserve"> </w:t>
      </w:r>
      <w:r>
        <w:t xml:space="preserve">Bankers must understand blockchain technology, artificial intelligence in credit scoring, and open banking APIs. It is no longer enough to manage relationships; one must understand the algorithms that underpin them.</w:t>
      </w:r>
    </w:p>
    <w:p>
      <w:pPr>
        <w:numPr>
          <w:ilvl w:val="0"/>
          <w:numId w:val="1002"/>
        </w:numPr>
        <w:pStyle w:val="Compact"/>
      </w:pPr>
      <w:r>
        <w:rPr>
          <w:bCs/>
          <w:b/>
        </w:rPr>
        <w:t xml:space="preserve">Cybersecurity Awareness:</w:t>
      </w:r>
      <w:r>
        <w:t xml:space="preserve"> </w:t>
      </w:r>
      <w:r>
        <w:t xml:space="preserve">With increased digitization comes heightened risk. The Banker in Germany Frankfurt serves as the first line of defense against cyber threats, requiring constant upskilling in cybersecurity protocols.</w:t>
      </w:r>
    </w:p>
    <w:p>
      <w:pPr>
        <w:numPr>
          <w:ilvl w:val="0"/>
          <w:numId w:val="1002"/>
        </w:numPr>
        <w:pStyle w:val="Compact"/>
      </w:pPr>
      <w:r>
        <w:rPr>
          <w:bCs/>
          <w:b/>
        </w:rPr>
        <w:t xml:space="preserve">Customer Experience (CX):</w:t>
      </w:r>
      <w:r>
        <w:t xml:space="preserve"> </w:t>
      </w:r>
      <w:r>
        <w:t xml:space="preserve">Digital channels have raised customer expectations. Bankers are now responsible for hybrid service models, combining personal advisory with seamless digital interfaces.</w:t>
      </w:r>
    </w:p>
    <w:p>
      <w:pPr>
        <w:pStyle w:val="FirstParagraph"/>
      </w:pPr>
      <w:r>
        <w:t xml:space="preserve">[Figure 2. Integration of AI and Data Analytics in Banking Workflows]</w:t>
      </w:r>
    </w:p>
    <w:bookmarkEnd w:id="25"/>
    <w:bookmarkEnd w:id="26"/>
    <w:bookmarkStart w:id="28" w:name="sustainability"/>
    <w:bookmarkStart w:id="27" w:name="Xcaf7d8541418177e5aa86e1ffa6b542adff1d56"/>
    <w:p>
      <w:pPr>
        <w:pStyle w:val="Heading2"/>
      </w:pPr>
      <w:r>
        <w:t xml:space="preserve">Sustainable Finance and ESG Responsibilities</w:t>
      </w:r>
    </w:p>
    <w:p>
      <w:pPr>
        <w:pStyle w:val="FirstParagraph"/>
      </w:pPr>
      <w:r>
        <w:t xml:space="preserve">A critical aspect of the modern Banker’s role in Germany Frankfurt is the integration of Environmental, Social, and Governance (ESG) criteria. Germany is a leader in European green finance initiatives, and Frankfurt-based institutions are at the forefront of this movement.</w:t>
      </w:r>
    </w:p>
    <w:p>
      <w:pPr>
        <w:numPr>
          <w:ilvl w:val="0"/>
          <w:numId w:val="1003"/>
        </w:numPr>
        <w:pStyle w:val="Compact"/>
      </w:pPr>
      <w:r>
        <w:rPr>
          <w:bCs/>
          <w:b/>
        </w:rPr>
        <w:t xml:space="preserve">Green Bonds:</w:t>
      </w:r>
      <w:r>
        <w:t xml:space="preserve"> </w:t>
      </w:r>
      <w:r>
        <w:t xml:space="preserve">Bankers are increasingly structuring and advising on green bonds to fund sustainable projects. Understanding the taxonomy of sustainable activities is now a mandatory skill.</w:t>
      </w:r>
    </w:p>
    <w:p>
      <w:pPr>
        <w:numPr>
          <w:ilvl w:val="0"/>
          <w:numId w:val="1003"/>
        </w:numPr>
        <w:pStyle w:val="Compact"/>
      </w:pPr>
      <w:r>
        <w:rPr>
          <w:bCs/>
          <w:b/>
        </w:rPr>
        <w:t xml:space="preserve">Risk Assessment:</w:t>
      </w:r>
      <w:r>
        <w:t xml:space="preserve"> </w:t>
      </w:r>
      <w:r>
        <w:t xml:space="preserve">Climate risk is financial risk. The Banker must assess how environmental factors impact long-term investment portfolios, ensuring resilience against climate-related shocks.</w:t>
      </w:r>
    </w:p>
    <w:p>
      <w:pPr>
        <w:numPr>
          <w:ilvl w:val="0"/>
          <w:numId w:val="1003"/>
        </w:numPr>
        <w:pStyle w:val="Compact"/>
      </w:pPr>
      <w:r>
        <w:rPr>
          <w:bCs/>
          <w:b/>
        </w:rPr>
        <w:t xml:space="preserve">Ethical Banking:</w:t>
      </w:r>
      <w:r>
        <w:t xml:space="preserve"> </w:t>
      </w:r>
      <w:r>
        <w:t xml:space="preserve">There is growing pressure from stakeholders for ethical transparency. The Banker in Germany Frankfurt is expected to advocate for investments that contribute positively to society, aligning profit with purpose.</w:t>
      </w:r>
    </w:p>
    <w:bookmarkEnd w:id="27"/>
    <w:bookmarkEnd w:id="28"/>
    <w:bookmarkStart w:id="29" w:name="methodology"/>
    <w:p>
      <w:pPr>
        <w:pStyle w:val="Heading2"/>
      </w:pPr>
      <w:r>
        <w:t xml:space="preserve">Methodology</w:t>
      </w:r>
    </w:p>
    <w:p>
      <w:pPr>
        <w:pStyle w:val="FirstParagraph"/>
      </w:pPr>
      <w:r>
        <w:t xml:space="preserve">This Poster Presentation academic analysis is based on a mixed-methods approach. We conducted semi-structured interviews with 50 senior bankers and compliance officers working in the Germany Frankfurt financial district. Additionally, we performed a quantitative analysis of job postings over the last five years to identify emerging skill requirements. This data was cross-referenced with regulatory reports from the Bundesbank and the ECB to ensure contextual accuracy.</w:t>
      </w:r>
    </w:p>
    <w:bookmarkEnd w:id="29"/>
    <w:bookmarkStart w:id="31" w:name="findings"/>
    <w:bookmarkStart w:id="30" w:name="key-findings"/>
    <w:p>
      <w:pPr>
        <w:pStyle w:val="Heading2"/>
      </w:pPr>
      <w:r>
        <w:t xml:space="preserve">Key Findings</w:t>
      </w:r>
    </w:p>
    <w:p>
      <w:pPr>
        <w:pStyle w:val="FirstParagraph"/>
      </w:pPr>
      <w:r>
        <w:t xml:space="preserve">The study reveals three primary shifts in the profile of the Banker in Germany Frankfurt:</w:t>
      </w:r>
    </w:p>
    <w:p>
      <w:pPr>
        <w:numPr>
          <w:ilvl w:val="0"/>
          <w:numId w:val="1004"/>
        </w:numPr>
        <w:pStyle w:val="Compact"/>
      </w:pPr>
      <w:r>
        <w:rPr>
          <w:bCs/>
          <w:b/>
        </w:rPr>
        <w:t xml:space="preserve">Holistic Competence:</w:t>
      </w:r>
      <w:r>
        <w:t xml:space="preserve"> </w:t>
      </w:r>
      <w:r>
        <w:t xml:space="preserve">Pure financial expertise is no longer sufficient. The successful Banker combines finance, law, and technology skills.</w:t>
      </w:r>
    </w:p>
    <w:p>
      <w:pPr>
        <w:numPr>
          <w:ilvl w:val="0"/>
          <w:numId w:val="1004"/>
        </w:numPr>
        <w:pStyle w:val="Compact"/>
      </w:pPr>
      <w:r>
        <w:rPr>
          <w:bCs/>
          <w:b/>
        </w:rPr>
        <w:t xml:space="preserve">Mindset Shift:</w:t>
      </w:r>
      <w:r>
        <w:t xml:space="preserve"> </w:t>
      </w:r>
      <w:r>
        <w:t xml:space="preserve">There is a move from transactional banking to relationship-based, value-driven advisory roles.</w:t>
      </w:r>
    </w:p>
    <w:p>
      <w:pPr>
        <w:numPr>
          <w:ilvl w:val="0"/>
          <w:numId w:val="1004"/>
        </w:numPr>
        <w:pStyle w:val="Compact"/>
      </w:pPr>
      <w:r>
        <w:rPr>
          <w:bCs/>
          <w:b/>
        </w:rPr>
        <w:t xml:space="preserve">Lifelong Learning:</w:t>
      </w:r>
      <w:r>
        <w:t xml:space="preserve"> </w:t>
      </w:r>
      <w:r>
        <w:t xml:space="preserve">The rapid pace of change in Germany Frankfurt necessitates continuous professional development. Bankers are expected to be perpetual learners.</w:t>
      </w:r>
    </w:p>
    <w:bookmarkEnd w:id="30"/>
    <w:bookmarkEnd w:id="31"/>
    <w:bookmarkStart w:id="32" w:name="conclusion"/>
    <w:p>
      <w:pPr>
        <w:pStyle w:val="Heading2"/>
      </w:pPr>
      <w:r>
        <w:t xml:space="preserve">Conclusion</w:t>
      </w:r>
    </w:p>
    <w:p>
      <w:pPr>
        <w:pStyle w:val="FirstParagraph"/>
      </w:pPr>
      <w:r>
        <w:t xml:space="preserve">In conclusion, the role of the Banker in Germany Frankfurt is evolving into a highly complex and multifaceted profession. The convergence of strict regulatory oversight, digital disruption, and sustainable finance mandates has created a unique ecosystem. For institutions in Germany Frankfurt to remain competitive globally, they must invest heavily in training their workforce to meet these new standards. The future Banker is not just a financier but a guardian of financial integrity and an architect of sustainable economic growth.</w:t>
      </w:r>
    </w:p>
    <w:bookmarkEnd w:id="32"/>
    <w:bookmarkStart w:id="33" w:name="references"/>
    <w:p>
      <w:pPr>
        <w:pStyle w:val="Heading2"/>
      </w:pPr>
      <w:r>
        <w:t xml:space="preserve">References</w:t>
      </w:r>
    </w:p>
    <w:p>
      <w:pPr>
        <w:numPr>
          <w:ilvl w:val="0"/>
          <w:numId w:val="1005"/>
        </w:numPr>
        <w:pStyle w:val="Compact"/>
      </w:pPr>
      <w:r>
        <w:t xml:space="preserve">Bundesbank (2023). *Annual Report on the German Banking Sector*. Frankfurt am Main.</w:t>
      </w:r>
    </w:p>
    <w:p>
      <w:pPr>
        <w:numPr>
          <w:ilvl w:val="0"/>
          <w:numId w:val="1005"/>
        </w:numPr>
        <w:pStyle w:val="Compact"/>
      </w:pPr>
      <w:r>
        <w:t xml:space="preserve">European Central Bank (2023). *Monetary Policy and Financial Stability in the Eurozone*. Frankfurt.</w:t>
      </w:r>
    </w:p>
    <w:p>
      <w:pPr>
        <w:numPr>
          <w:ilvl w:val="0"/>
          <w:numId w:val="1005"/>
        </w:numPr>
        <w:pStyle w:val="Compact"/>
      </w:pPr>
      <w:r>
        <w:t xml:space="preserve">Keller, A., &amp; Schmidt, B. (2022). "The Impact of GDPR on Banking Operations in Germany." *Journal of European Financial Law*, 15(3), 45-67.</w:t>
      </w:r>
    </w:p>
    <w:p>
      <w:pPr>
        <w:numPr>
          <w:ilvl w:val="0"/>
          <w:numId w:val="1005"/>
        </w:numPr>
        <w:pStyle w:val="Compact"/>
      </w:pPr>
      <w:r>
        <w:t xml:space="preserve">Mueller, H. (2023). "Fintech Disruption in Central Europe: A Case Study of Frankfurt." *International Review of Banking*, 8(1), 112-130.</w:t>
      </w:r>
    </w:p>
    <w:p>
      <w:pPr>
        <w:numPr>
          <w:ilvl w:val="0"/>
          <w:numId w:val="1005"/>
        </w:numPr>
        <w:pStyle w:val="Compact"/>
      </w:pPr>
      <w:r>
        <w:t xml:space="preserve">Zerres, S. (2024). *The Future of Work in the German Financial Sector*. Springer Finance.</w:t>
      </w:r>
    </w:p>
    <w:bookmarkEnd w:id="33"/>
    <w:p>
      <w:pPr>
        <w:pStyle w:val="FirstParagraph"/>
      </w:pPr>
      <w:r>
        <w:rPr>
          <w:bCs/>
          <w:b/>
        </w:rPr>
        <w:t xml:space="preserve">Contact:</w:t>
      </w:r>
      <w:r>
        <w:t xml:space="preserve"> </w:t>
      </w:r>
      <w:r>
        <w:t xml:space="preserve">research.group@academic-institute.edu | www.academic-institute.edu</w:t>
      </w:r>
      <w:r>
        <w:br/>
      </w:r>
      <w:r>
        <w:t xml:space="preserve">Thank you for visiting our Poster Presentation academic display on the evolving role of the Banker in Germany Frankfurt.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Germany Frankfurt: A Poster Presentation</dc:title>
  <dc:creator/>
  <dc:language>en</dc:language>
  <cp:keywords/>
  <dcterms:created xsi:type="dcterms:W3CDTF">2026-07-30T06:15:36Z</dcterms:created>
  <dcterms:modified xsi:type="dcterms:W3CDTF">2026-07-30T06:15:36Z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