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Banker</w:t>
      </w:r>
      <w:r>
        <w:t xml:space="preserve"> </w:t>
      </w:r>
      <w:r>
        <w:t xml:space="preserve">Poster</w:t>
      </w:r>
      <w:r>
        <w:t xml:space="preserve"> </w:t>
      </w:r>
      <w:r>
        <w:t xml:space="preserve">Presentation:</w:t>
      </w:r>
      <w:r>
        <w:t xml:space="preserve"> </w:t>
      </w:r>
      <w:r>
        <w:t xml:space="preserve">Iran</w:t>
      </w:r>
      <w:r>
        <w:t xml:space="preserve"> </w:t>
      </w:r>
      <w:r>
        <w:t xml:space="preserve">Tehran</w:t>
      </w:r>
    </w:p>
    <w:p>
      <w:pPr>
        <w:pStyle w:val="FirstParagraph"/>
      </w:pPr>
      <w:r>
        <w:t xml:space="preserve">```html</w:t>
      </w:r>
    </w:p>
    <w:bookmarkStart w:id="28" w:name="Xcec7ce0cfba0f8bca5e59052bba783822d2aee3"/>
    <w:p>
      <w:pPr>
        <w:pStyle w:val="Heading1"/>
      </w:pPr>
      <w:r>
        <w:t xml:space="preserve">The Evolution of the Banker in Iran Tehran</w:t>
      </w:r>
    </w:p>
    <w:bookmarkStart w:id="20" w:name="absolute-contextualization-and-abstract"/>
    <w:p>
      <w:pPr>
        <w:pStyle w:val="Heading2"/>
      </w:pPr>
      <w:r>
        <w:t xml:space="preserve">Absolute Contextualization and Abstract</w:t>
      </w:r>
    </w:p>
    <w:p>
      <w:pPr>
        <w:pStyle w:val="FirstParagraph"/>
      </w:pPr>
      <w:r>
        <w:t xml:space="preserve">In the dynamic landscape of global finance, the role of a</w:t>
      </w:r>
      <w:r>
        <w:t xml:space="preserve"> </w:t>
      </w:r>
      <w:r>
        <w:rPr>
          <w:bCs/>
          <w:b/>
        </w:rPr>
        <w:t xml:space="preserve">Banker</w:t>
      </w:r>
      <w:r>
        <w:t xml:space="preserve"> </w:t>
      </w:r>
      <w:r>
        <w:t xml:space="preserve">is undergoing significant transformation. This Poster Presentation focuses specifically on the unique economic environment of Iran Tehran. As one of the most pivotal financial hubs in Western Asia, Iran Tehran presents a distinct case study for understanding banking practices under specific regulatory and geopolitical constraints. This document explores how traditional banking roles have adapted to local cultural norms, international sanctions, and digital transformation within this critical region.</w:t>
      </w:r>
    </w:p>
    <w:bookmarkEnd w:id="20"/>
    <w:bookmarkStart w:id="21" w:name="X408634112287812fec103d38874b972b2bd5454"/>
    <w:p>
      <w:pPr>
        <w:pStyle w:val="Heading2"/>
      </w:pPr>
      <w:r>
        <w:t xml:space="preserve">The Historical Context of Banking in Iran Tehran</w:t>
      </w:r>
    </w:p>
    <w:p>
      <w:pPr>
        <w:pStyle w:val="FirstParagraph"/>
      </w:pPr>
      <w:r>
        <w:t xml:space="preserve">To understand the current state of the</w:t>
      </w:r>
      <w:r>
        <w:t xml:space="preserve"> </w:t>
      </w:r>
      <w:r>
        <w:t xml:space="preserve">Banker in Iran Tehran , one must look at its historical trajectory. The banking sector in this region has evolved from traditional gold-based exchanges to modern financial institutions that interface with both Islamic finance principles and global markets. Historically, commerce along the Silk Road passed through Iran Tehran , establishing it as a natural center for wealth management and trade financing. Today, the legacy of these ancient practices influences contemporary banking etiquette and trust-building mechanisms in Iran Tehran .</w:t>
      </w:r>
    </w:p>
    <w:bookmarkEnd w:id="21"/>
    <w:bookmarkStart w:id="22" w:name="the-role-of-the-banker-a-dual-identity"/>
    <w:p>
      <w:pPr>
        <w:pStyle w:val="Heading2"/>
      </w:pPr>
      <w:r>
        <w:t xml:space="preserve">The Role of the Banker: A Dual Identity</w:t>
      </w:r>
    </w:p>
    <w:p>
      <w:pPr>
        <w:pStyle w:val="FirstParagraph"/>
      </w:pPr>
      <w:r>
        <w:t xml:space="preserve">The modern</w:t>
      </w:r>
      <w:r>
        <w:t xml:space="preserve"> </w:t>
      </w:r>
      <w:r>
        <w:t xml:space="preserve">Banker operating in Iran Tehran often assumes a dual identity. On one hand, they are professional financial advisors adhering to international standards of ethics and efficiency. On the other hand, they must navigate the complex web of local regulations influenced by Sharia law, which prohibits interest (Riba) and encourages profit-and-loss sharing models.</w:t>
      </w:r>
      <w:r>
        <w:t xml:space="preserve"> </w:t>
      </w:r>
      <w:r>
        <w:t xml:space="preserve">This duality requires a Banker to be not only financially literate but also culturally sensitive. In Iran Tehran , personal relationships and trust are paramount in financial transactions. Unlike Western banking systems that may prioritize algorithmic efficiency, the Banker in Iran Tehran often serves as a community pillar, offering advice that extends beyond mere transaction processing into holistic wealth preservation strategies suitable for local socio-economic conditions.</w:t>
      </w:r>
    </w:p>
    <w:bookmarkEnd w:id="22"/>
    <w:bookmarkStart w:id="23" w:name="X58306a0dd3de3029745834a7a8b0176569ddd83"/>
    <w:p>
      <w:pPr>
        <w:pStyle w:val="Heading2"/>
      </w:pPr>
      <w:r>
        <w:t xml:space="preserve">Impact of Geopolitics on Banking Practices</w:t>
      </w:r>
    </w:p>
    <w:p>
      <w:pPr>
        <w:pStyle w:val="FirstParagraph"/>
      </w:pPr>
      <w:r>
        <w:t xml:space="preserve">The geopolitical landscape significantly impacts the daily operations of a Banker in Iran Tehran . International sanctions have isolated many Iranian financial institutions from the global SWIFT system, forcing local bankers to develop alternative channels for cross-border transactions. This isolation has spurred innovation within Iran Tehran , leading to the development of robust domestic payment systems and blockchain technologies that allow a Banker to facilitate trade without direct reliance on Western banking infrastructure.</w:t>
      </w:r>
      <w:r>
        <w:t xml:space="preserve"> </w:t>
      </w:r>
      <w:r>
        <w:t xml:space="preserve">Consequently, the skill set required of a Banker in this context has expanded. They must possess expertise in alternative currency exchanges, barter trade mechanisms, and regional partnerships with countries outside traditional Western alliances. This resilience is a defining characteristic of the contemporary Iran Tehran financial professional.</w:t>
      </w:r>
    </w:p>
    <w:bookmarkEnd w:id="23"/>
    <w:bookmarkStart w:id="24" w:name="Xafd2b6f2822e5e064f8fc3bb1dfe64a54124e5a"/>
    <w:p>
      <w:pPr>
        <w:pStyle w:val="Heading2"/>
      </w:pPr>
      <w:r>
        <w:t xml:space="preserve">Digital Transformation and Fintech in Iran Tehran</w:t>
      </w:r>
    </w:p>
    <w:p>
      <w:pPr>
        <w:pStyle w:val="FirstParagraph"/>
      </w:pPr>
      <w:r>
        <w:t xml:space="preserve">Despite external pressures, the digital transformation of banking in Iran Tehran has accelerated. The younger demographic in this vibrant city is increasingly tech-savvy, driving demand for mobile banking solutions. For a Banker in this environment, adapting to fintech trends is no longer optional but essential.</w:t>
      </w:r>
      <w:r>
        <w:t xml:space="preserve"> </w:t>
      </w:r>
      <w:r>
        <w:t xml:space="preserve">Digital platforms have allowed banks to reach underserved populations across Iran , reducing the need for physical branches and lowering operational costs. A modern Banker must be proficient in data analytics to offer personalized financial products while maintaining stringent cybersecurity protocols to protect client data against digital threats. The integration of AI-driven customer service tools is also becoming prevalent in major institutions within Iran Tehran , enhancing the efficiency of the Banker-client interaction.</w:t>
      </w:r>
    </w:p>
    <w:bookmarkEnd w:id="24"/>
    <w:bookmarkStart w:id="25" w:name="X0a1a5ad51dee8c7084cf542c8e561939450e6ff"/>
    <w:p>
      <w:pPr>
        <w:pStyle w:val="Heading2"/>
      </w:pPr>
      <w:r>
        <w:t xml:space="preserve">Social Responsibility and Community Engagement</w:t>
      </w:r>
    </w:p>
    <w:p>
      <w:pPr>
        <w:pStyle w:val="FirstParagraph"/>
      </w:pPr>
      <w:r>
        <w:t xml:space="preserve">In Iran Tehran , banking is deeply intertwined with social responsibility. Many local banks prioritize funding for community development projects, education, and healthcare. A Banker in this region is often expected to engage in corporate social responsibility (CSR) initiatives that align with national goals of self-sufficiency and economic independence.</w:t>
      </w:r>
      <w:r>
        <w:t xml:space="preserve"> </w:t>
      </w:r>
      <w:r>
        <w:t xml:space="preserve">This focus on communal well-being distinguishes the banking culture in Iran Tehran from purely profit-driven models elsewhere. It fosters a sense of loyalty among clients who view their Banker not just as a service provider, but as an ally in the broader socio-economic progress of their society.</w:t>
      </w:r>
    </w:p>
    <w:bookmarkEnd w:id="25"/>
    <w:bookmarkStart w:id="26" w:name="X1391daa4f4659d00c6fd0a245f3d3e8cb61213a"/>
    <w:p>
      <w:pPr>
        <w:pStyle w:val="Heading2"/>
      </w:pPr>
      <w:r>
        <w:t xml:space="preserve">Future Outlook: Challenges and Opportunities</w:t>
      </w:r>
    </w:p>
    <w:p>
      <w:pPr>
        <w:pStyle w:val="FirstParagraph"/>
      </w:pPr>
      <w:r>
        <w:t xml:space="preserve">Looking ahead, the</w:t>
      </w:r>
      <w:r>
        <w:t xml:space="preserve"> </w:t>
      </w:r>
      <w:r>
        <w:t xml:space="preserve">Banker in Iran Tehran faces both challenges and opportunities. The potential for future geopolitical shifts could either open new avenues for international cooperation or further isolate the region economically. However, within these uncertainties lies an opportunity for innovation. As global attention turns toward sustainable finance, Iranian banks have the chance to showcase green financing models that address local environmental challenges such as water scarcity and air pollution in major urban centers like Iran Tehran .</w:t>
      </w:r>
      <w:r>
        <w:t xml:space="preserve"> </w:t>
      </w:r>
      <w:r>
        <w:t xml:space="preserve">Furthermore, as regional trade agreements evolve, there is a growing need for Bankers who can facilitate multi-currency transactions and manage complex risk profiles associated with emerging markets. Professional development programs are increasingly focusing on these areas to ensure that the next generation of Bankers in Iran Tehran is equipped to handle these evolving demands.</w:t>
      </w:r>
    </w:p>
    <w:bookmarkEnd w:id="26"/>
    <w:bookmarkStart w:id="27" w:name="conclusion"/>
    <w:p>
      <w:pPr>
        <w:pStyle w:val="Heading2"/>
      </w:pPr>
      <w:r>
        <w:t xml:space="preserve">Conclusion</w:t>
      </w:r>
    </w:p>
    <w:p>
      <w:pPr>
        <w:pStyle w:val="FirstParagraph"/>
      </w:pPr>
      <w:r>
        <w:t xml:space="preserve">The role of the</w:t>
      </w:r>
      <w:r>
        <w:t xml:space="preserve"> </w:t>
      </w:r>
      <w:r>
        <w:t xml:space="preserve">Banker in Iran Tehran is complex, multifaceted, and deeply rooted in both tradition and innovation. It requires a unique blend of financial acumen, cultural intelligence, and adaptability to geopolitical changes. As this vital financial hub continues to navigate its path through global economic currents, the Banker remains a central figure in shaping the financial future of the region. Understanding these dynamics is crucial for any academic or professional interest in international banking systems.</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Banker Poster Presentation: Iran Tehran</dc:title>
  <dc:creator/>
  <dc:language>en</dc:language>
  <cp:keywords/>
  <dcterms:created xsi:type="dcterms:W3CDTF">2026-07-29T08:38:58Z</dcterms:created>
  <dcterms:modified xsi:type="dcterms:W3CDTF">2026-07-29T08:38:58Z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