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0" w:name="Xca55f58db86d4f3566af9c4af59c9d50efec55c"/>
    <w:p>
      <w:pPr>
        <w:pStyle w:val="Heading1"/>
      </w:pPr>
      <w:r>
        <w:t xml:space="preserve">The Strategic Evolution of the Banker in Iraq Baghdad:</w:t>
      </w:r>
    </w:p>
    <w:p>
      <w:pPr>
        <w:pStyle w:val="FirstParagraph"/>
      </w:pPr>
      <w:r>
        <w:t xml:space="preserve">Navigating Transition, Digitalization, and Sustainable Finance</w:t>
      </w:r>
    </w:p>
    <w:p>
      <w:pPr>
        <w:pStyle w:val="BodyText"/>
      </w:pPr>
      <w:r>
        <w:rPr>
          <w:bCs/>
          <w:b/>
        </w:rPr>
        <w:t xml:space="preserve">Author:</w:t>
      </w:r>
      <w:r>
        <w:t xml:space="preserve"> </w:t>
      </w:r>
      <w:r>
        <w:t xml:space="preserve">Dr. Ahmed Al-Jubouri  | </w:t>
      </w:r>
      <w:r>
        <w:t xml:space="preserve"> </w:t>
      </w:r>
      <w:r>
        <w:rPr>
          <w:bCs/>
          <w:b/>
        </w:rPr>
        <w:t xml:space="preserve">Institution:</w:t>
      </w:r>
      <w:r>
        <w:t xml:space="preserve"> </w:t>
      </w:r>
      <w:r>
        <w:t xml:space="preserve">University of Baghdad, College of Economics &amp; Business Administration</w:t>
      </w:r>
      <w:r>
        <w:br/>
      </w:r>
      <w:r>
        <w:rPr>
          <w:iCs/>
          <w:i/>
        </w:rPr>
        <w:t xml:space="preserve">Date: October 2023 | Conference on Middle Eastern Economic Development</w:t>
      </w:r>
    </w:p>
    <w:bookmarkEnd w:id="20"/>
    <w:p>
      <w:pPr>
        <w:pStyle w:val="BodyText"/>
      </w:pPr>
      <w:r>
        <w:br/>
      </w:r>
      <w:r>
        <w:br/>
      </w:r>
    </w:p>
    <w:bookmarkStart w:id="21" w:name="introduction-and-context"/>
    <w:p>
      <w:pPr>
        <w:pStyle w:val="Heading2"/>
      </w:pPr>
      <w:r>
        <w:t xml:space="preserve">1. Introduction and Context</w:t>
      </w:r>
    </w:p>
    <w:p>
      <w:pPr>
        <w:pStyle w:val="FirstParagraph"/>
      </w:pPr>
      <w:r>
        <w:t xml:space="preserve">The banking sector in Iraq Baghdad stands at a pivotal juncture, marking the transition from a historically rigid, state-dominated model to one that is increasingly competitive and diversified. For decades, the primary</w:t>
      </w:r>
      <w:r>
        <w:t xml:space="preserve"> </w:t>
      </w:r>
      <w:r>
        <w:rPr>
          <w:bCs/>
          <w:b/>
        </w:rPr>
        <w:t xml:space="preserve">Banker</w:t>
      </w:r>
      <w:r>
        <w:t xml:space="preserve"> </w:t>
      </w:r>
      <w:r>
        <w:t xml:space="preserve">in Iraq was viewed as an administrative functionary rather than a strategic financial advisor. However, recent economic reforms mandated by the Central Bank of Iraq have necessitated a profound shift in this identity.</w:t>
      </w:r>
    </w:p>
    <w:p>
      <w:pPr>
        <w:pStyle w:val="BodyText"/>
      </w:pPr>
      <w:r>
        <w:t xml:space="preserve">This poster explores how modern Banking professionals operating within the capital city of Baghdad must adapt to global standards while respecting local socio-economic nuances. The focus is on redefining the role of the Banker as an agent of stability, innovation, and financial inclusion in one of the Middle East's most dynamic but historically volatile markets.</w:t>
      </w:r>
    </w:p>
    <w:bookmarkEnd w:id="21"/>
    <w:bookmarkStart w:id="22" w:name="research-objectives"/>
    <w:p>
      <w:pPr>
        <w:pStyle w:val="Heading2"/>
      </w:pPr>
      <w:r>
        <w:t xml:space="preserve">2. Research Objectives</w:t>
      </w:r>
    </w:p>
    <w:p>
      <w:pPr>
        <w:numPr>
          <w:ilvl w:val="0"/>
          <w:numId w:val="1001"/>
        </w:numPr>
        <w:pStyle w:val="Compact"/>
      </w:pPr>
      <w:r>
        <w:t xml:space="preserve">To analyze the historical evolution of the banking profession in Baghdad post-1958 revolution and post-2003 reconstruction.</w:t>
      </w:r>
    </w:p>
    <w:p>
      <w:pPr>
        <w:numPr>
          <w:ilvl w:val="0"/>
          <w:numId w:val="1001"/>
        </w:numPr>
        <w:pStyle w:val="Compact"/>
      </w:pPr>
      <w:r>
        <w:t xml:space="preserve">To evaluate the impact of digital transformation on customer relationship management among Bankers in Iraq Baghdad.</w:t>
      </w:r>
    </w:p>
    <w:p>
      <w:pPr>
        <w:numPr>
          <w:ilvl w:val="0"/>
          <w:numId w:val="1001"/>
        </w:numPr>
        <w:pStyle w:val="Compact"/>
      </w:pPr>
      <w:r>
        <w:t xml:space="preserve">To assess how Bankers navigate regulatory frameworks set by the Central Bank of Iraq (CBI) versus international Basel standards.</w:t>
      </w:r>
    </w:p>
    <w:bookmarkEnd w:id="22"/>
    <w:p>
      <w:pPr>
        <w:pStyle w:val="FirstParagraph"/>
      </w:pPr>
      <w:r>
        <w:br/>
      </w:r>
      <w:r>
        <w:br/>
      </w:r>
    </w:p>
    <w:bookmarkStart w:id="25" w:name="the-evolving-role-of-the-banker"/>
    <w:p>
      <w:pPr>
        <w:pStyle w:val="Heading2"/>
      </w:pPr>
      <w:r>
        <w:t xml:space="preserve">3. The Evolving Role of the Banker</w:t>
      </w:r>
    </w:p>
    <w:p>
      <w:pPr>
        <w:pStyle w:val="FirstParagraph"/>
      </w:pPr>
      <w:r>
        <w:t xml:space="preserve">In traditional contexts, a Banker in Iraq Baghdad was often limited to transactional processing—handling deposits and facilitating government payments for oil revenues. Today, the role has expanded significantly.</w:t>
      </w:r>
    </w:p>
    <w:bookmarkStart w:id="23" w:name="Xce5a7b42cb5cc3e068583331e37a4994f19f1ae"/>
    <w:p>
      <w:pPr>
        <w:pStyle w:val="Heading3"/>
      </w:pPr>
      <w:r>
        <w:t xml:space="preserve">A. The Bridge Between Tradition and Modernity</w:t>
      </w:r>
    </w:p>
    <w:p>
      <w:pPr>
        <w:pStyle w:val="FirstParagraph"/>
      </w:pPr>
      <w:r>
        <w:t xml:space="preserve">The modern Banker must possess deep knowledge of both Islamic Finance principles (Mudarabah, Musharakah) and conventional banking products. In Iraq Baghdad, where religious compliance is a primary driver for consumer choice, the ability to structure Sharia-compliant financing solutions is not just an option; it is a fundamental competency for any successful Banker.</w:t>
      </w:r>
    </w:p>
    <w:bookmarkEnd w:id="23"/>
    <w:bookmarkStart w:id="24" w:name="b.-financial-inclusion-agents"/>
    <w:p>
      <w:pPr>
        <w:pStyle w:val="Heading3"/>
      </w:pPr>
      <w:r>
        <w:t xml:space="preserve">B. Financial Inclusion Agents</w:t>
      </w:r>
    </w:p>
    <w:p>
      <w:pPr>
        <w:pStyle w:val="FirstParagraph"/>
      </w:pPr>
      <w:r>
        <w:t xml:space="preserve">A significant portion of the Iraqi population remains unbanked, particularly in rural areas surrounding Baghdad and other governorates. The contemporary Banker is tasked with outreach initiatives, educating small business owners on creditworthiness and offering micro-finance products to foster entrepreneurship.</w:t>
      </w:r>
    </w:p>
    <w:bookmarkEnd w:id="24"/>
    <w:bookmarkEnd w:id="25"/>
    <w:bookmarkStart w:id="26" w:name="Xbd23a574ea1ced939db978a7d259ce87c5f489a"/>
    <w:p>
      <w:pPr>
        <w:pStyle w:val="Heading2"/>
      </w:pPr>
      <w:r>
        <w:t xml:space="preserve">4. Digital Transformation and Infrastructure</w:t>
      </w:r>
    </w:p>
    <w:p>
      <w:pPr>
        <w:pStyle w:val="FirstParagraph"/>
      </w:pPr>
      <w:r>
        <w:t xml:space="preserve">The infrastructure in Iraq Baghdad has seen rapid improvement in telecommunications, yet digital adoption remains uneven. The Banker of the future is now a "Tech-Savvy Advisor."</w:t>
      </w:r>
    </w:p>
    <w:p>
      <w:pPr>
        <w:pStyle w:val="BodyText"/>
      </w:pPr>
      <w:r>
        <w:rPr>
          <w:bCs/>
          <w:b/>
        </w:rPr>
        <w:t xml:space="preserve">Key Challenges for Bankers:</w:t>
      </w:r>
      <w:r>
        <w:br/>
      </w:r>
      <w:r>
        <w:t xml:space="preserve">•  </w:t>
      </w:r>
      <w:r>
        <w:rPr>
          <w:iCs/>
          <w:i/>
        </w:rPr>
        <w:t xml:space="preserve">Cybersecurity Awareness:</w:t>
      </w:r>
      <w:r>
        <w:t xml:space="preserve"> </w:t>
      </w:r>
      <w:r>
        <w:t xml:space="preserve">As fraud attempts rise globally, Bankers in Baghdad must be the first line of defense, educating clients on phishing and digital theft.</w:t>
      </w:r>
      <w:r>
        <w:br/>
      </w:r>
      <w:r>
        <w:t xml:space="preserve">•  </w:t>
      </w:r>
    </w:p>
    <w:p>
      <w:pPr>
        <w:pStyle w:val="BodyText"/>
      </w:pPr>
      <w:r>
        <w:t xml:space="preserve">M-Commerce Adoption:</w:t>
      </w:r>
      <w:r>
        <w:br/>
      </w:r>
      <w:r>
        <w:t xml:space="preserve">•  </w:t>
      </w:r>
    </w:p>
    <w:p>
      <w:pPr>
        <w:pStyle w:val="BodyText"/>
      </w:pPr>
      <w:r>
        <w:t xml:space="preserve">Digital Literacy Gaps:</w:t>
      </w:r>
      <w:r>
        <w:br/>
      </w:r>
    </w:p>
    <w:p>
      <w:pPr>
        <w:pStyle w:val="BodyText"/>
      </w:pPr>
      <w:r>
        <w:t xml:space="preserve">The introduction of the "Dinar Pay" and other local digital wallets requires Bankers to shift from branch-centric operations to omnichannel support. The Banker in Iraq Baghdad is no longer just sitting behind a glass partition; they are engaging with clients via mobile interfaces, requiring new skill sets in user experience (UX) navigation and remote dispute resolution.</w:t>
      </w:r>
    </w:p>
    <w:bookmarkEnd w:id="26"/>
    <w:p>
      <w:pPr>
        <w:pStyle w:val="BodyText"/>
      </w:pPr>
      <w:r>
        <w:br/>
      </w:r>
      <w:r>
        <w:br/>
      </w:r>
    </w:p>
    <w:bookmarkStart w:id="27" w:name="sustainable-development-and-esg"/>
    <w:p>
      <w:pPr>
        <w:pStyle w:val="Heading2"/>
      </w:pPr>
      <w:r>
        <w:t xml:space="preserve">5. Sustainable Development and ESG</w:t>
      </w:r>
    </w:p>
    <w:p>
      <w:pPr>
        <w:pStyle w:val="FirstParagraph"/>
      </w:pPr>
      <w:r>
        <w:t xml:space="preserve">Aligning with the United Nations Sustainable Development Goals (SDGs), Bankers in Iraq Baghdad are beginning to explore Environmental, Social, and Governance (ESG) criteria. While oil remains king in Iraq's economy, the next generation of Bankers is tasked with diversifying investments into renewable energy projects and sustainable agriculture.</w:t>
      </w:r>
    </w:p>
    <w:p>
      <w:pPr>
        <w:pStyle w:val="BodyText"/>
      </w:pPr>
      <w:r>
        <w:t xml:space="preserve">This requires a paradigm shift where the Banker evaluates loans not just on collateral value—a traditional Iraqi banking preference—but on long-term sustainability and social impact. This shift is critical for reducing Baghdad's environmental footprint, particularly regarding water scarcity and urban heat islands.</w:t>
      </w:r>
    </w:p>
    <w:bookmarkEnd w:id="27"/>
    <w:bookmarkStart w:id="28" w:name="methodology-and-preliminary-findings"/>
    <w:p>
      <w:pPr>
        <w:pStyle w:val="Heading2"/>
      </w:pPr>
      <w:r>
        <w:t xml:space="preserve">6. Methodology and Preliminary Findings</w:t>
      </w:r>
    </w:p>
    <w:p>
      <w:pPr>
        <w:pStyle w:val="FirstParagraph"/>
      </w:pPr>
      <w:r>
        <w:rPr>
          <w:bCs/>
          <w:b/>
        </w:rPr>
        <w:t xml:space="preserve">Methodology:</w:t>
      </w:r>
      <w:r>
        <w:t xml:space="preserve"> </w:t>
      </w:r>
      <w:r>
        <w:t xml:space="preserve">This study utilizes a mixed-methods approach, combining semi-structured interviews with senior executives at major banks in Baghdad (including Bank of Baghdad, Al-Rafidain Bank, and private sector entities) alongside a quantitative survey of 500 retail customers.</w:t>
      </w:r>
    </w:p>
    <w:p>
      <w:pPr>
        <w:pStyle w:val="BodyText"/>
      </w:pPr>
      <w:r>
        <w:rPr>
          <w:bCs/>
          <w:b/>
        </w:rPr>
        <w:t xml:space="preserve">Preliminary Findings:</w:t>
      </w:r>
    </w:p>
    <w:p>
      <w:pPr>
        <w:numPr>
          <w:ilvl w:val="0"/>
          <w:numId w:val="1002"/>
        </w:numPr>
        <w:pStyle w:val="Compact"/>
      </w:pPr>
      <w:r>
        <w:rPr>
          <w:bCs/>
          <w:b/>
        </w:rPr>
        <w:t xml:space="preserve">Trust Deficit:</w:t>
      </w:r>
      <w:r>
        <w:t xml:space="preserve"> </w:t>
      </w:r>
      <w:r>
        <w:t xml:space="preserve">Over 65% of respondents cited historical instability as a barrier to trust. Bankers who emphasize transparency and long-term relationship building score highest in customer satisfaction.</w:t>
      </w:r>
    </w:p>
    <w:p>
      <w:pPr>
        <w:numPr>
          <w:ilvl w:val="0"/>
          <w:numId w:val="1002"/>
        </w:numPr>
        <w:pStyle w:val="Compact"/>
      </w:pPr>
      <w:r>
        <w:rPr>
          <w:bCs/>
          <w:b/>
        </w:rPr>
        <w:t xml:space="preserve">Skill Gap:</w:t>
      </w:r>
      <w:r>
        <w:t xml:space="preserve"> </w:t>
      </w:r>
      <w:r>
        <w:t xml:space="preserve">A significant majority of current Bankers in Iraq Baghdad require advanced training in data analytics and international compliance (AML/KYC).</w:t>
      </w:r>
    </w:p>
    <w:p>
      <w:pPr>
        <w:numPr>
          <w:ilvl w:val="0"/>
          <w:numId w:val="1002"/>
        </w:numPr>
        <w:pStyle w:val="Compact"/>
      </w:pPr>
      <w:r>
        <w:rPr>
          <w:bCs/>
          <w:b/>
        </w:rPr>
        <w:t xml:space="preserve">Youth Engagement:</w:t>
      </w:r>
      <w:r>
        <w:t xml:space="preserve"> </w:t>
      </w:r>
      <w:r>
        <w:t xml:space="preserve">Customers under 35 years old are significantly more likely to choose banks based on app functionality rather than physical branch presence.</w:t>
      </w:r>
    </w:p>
    <w:bookmarkEnd w:id="28"/>
    <w:p>
      <w:pPr>
        <w:pStyle w:val="FirstParagraph"/>
      </w:pPr>
      <w:r>
        <w:br/>
      </w:r>
      <w:r>
        <w:br/>
      </w:r>
    </w:p>
    <w:bookmarkStart w:id="30" w:name="conclusion-and-recommendations"/>
    <w:p>
      <w:pPr>
        <w:pStyle w:val="Heading2"/>
      </w:pPr>
      <w:r>
        <w:t xml:space="preserve">7. Conclusion and Recommendations</w:t>
      </w:r>
    </w:p>
    <w:p>
      <w:pPr>
        <w:pStyle w:val="FirstParagraph"/>
      </w:pPr>
      <w:r>
        <w:t xml:space="preserve">The role of the Banker in Iraq Baghdad is undergoing a metamorphosis from administrative custodian to strategic economic partner. To thrive, Banking institutions in Baghdad must prioritize continuous professional development, focusing on digital literacy, Islamic finance ethics, and customer-centric advisory skills.</w:t>
      </w:r>
    </w:p>
    <w:bookmarkStart w:id="29" w:name="recommendations"/>
    <w:p>
      <w:pPr>
        <w:pStyle w:val="Heading3"/>
      </w:pPr>
      <w:r>
        <w:t xml:space="preserve">Recommendations:</w:t>
      </w:r>
    </w:p>
    <w:p>
      <w:pPr>
        <w:numPr>
          <w:ilvl w:val="0"/>
          <w:numId w:val="1003"/>
        </w:numPr>
        <w:pStyle w:val="Compact"/>
      </w:pPr>
      <w:r>
        <w:rPr>
          <w:bCs/>
          <w:b/>
        </w:rPr>
        <w:t xml:space="preserve">Pedagogical Reform:</w:t>
      </w:r>
      <w:r>
        <w:t xml:space="preserve"> </w:t>
      </w:r>
      <w:r>
        <w:t xml:space="preserve">Banking curricula in Iraqi universities must integrate digital finance and fintech modules earlier.</w:t>
      </w:r>
    </w:p>
    <w:p>
      <w:pPr>
        <w:numPr>
          <w:ilvl w:val="0"/>
          <w:numId w:val="1003"/>
        </w:numPr>
        <w:pStyle w:val="Compact"/>
      </w:pPr>
      <w:r>
        <w:rPr>
          <w:bCs/>
          <w:b/>
        </w:rPr>
        <w:t xml:space="preserve">Institutional Support:</w:t>
      </w:r>
      <w:r>
        <w:t xml:space="preserve"> </w:t>
      </w:r>
      <w:r>
        <w:t xml:space="preserve">Bank management in Baghdad should invest heavily in cybersecurity training for all staff levels.</w:t>
      </w:r>
    </w:p>
    <w:p>
      <w:pPr>
        <w:numPr>
          <w:ilvl w:val="0"/>
          <w:numId w:val="1003"/>
        </w:numPr>
        <w:pStyle w:val="Compact"/>
      </w:pPr>
      <w:r>
        <w:rPr>
          <w:bCs/>
          <w:b/>
        </w:rPr>
        <w:t xml:space="preserve">Social Responsibility:</w:t>
      </w:r>
      <w:r>
        <w:t xml:space="preserve"> </w:t>
      </w:r>
      <w:r>
        <w:t xml:space="preserve">Bankers should actively lead community financial literacy programs to bridge the trust gap between formal banking institutions and the Iraqi populace.</w:t>
      </w:r>
    </w:p>
    <w:p>
      <w:pPr>
        <w:pStyle w:val="FirstParagraph"/>
      </w:pPr>
      <w:r>
        <w:t xml:space="preserve">By empowering Bankers with these tools, Iraq Baghdad can unlock its vast human capital potential, driving economic growth and financial stability for decades to come.</w:t>
      </w:r>
    </w:p>
    <w:bookmarkEnd w:id="29"/>
    <w:bookmarkEnd w:id="30"/>
    <w:p>
      <w:pPr>
        <w:pStyle w:val="BodyText"/>
      </w:pPr>
      <w:r>
        <w:br/>
      </w:r>
      <w:r>
        <w:br/>
      </w:r>
    </w:p>
    <w:p>
      <w:pPr>
        <w:pStyle w:val="BodyText"/>
      </w:pPr>
      <w:r>
        <w:rPr>
          <w:bCs/>
          <w:b/>
        </w:rPr>
        <w:t xml:space="preserve">References:</w:t>
      </w:r>
      <w:r>
        <w:br/>
      </w:r>
      <w:r>
        <w:t xml:space="preserve">Central Bank of Iraq. (2022). Annual Statistical Reports on Banking Sector Performance.</w:t>
      </w:r>
      <w:r>
        <w:br/>
      </w:r>
      <w:r>
        <w:t xml:space="preserve">World Bank Group. (2023). Iraq Economic Monitor: Supporting Jobs and Private Sector Growth.</w:t>
      </w:r>
      <w:r>
        <w:br/>
      </w:r>
      <w:r>
        <w:t xml:space="preserve">Al-Mudhaf, H. (2019). The Development of Islamic Banking in Iraq. Journal of Middle Eastern Economics.</w:t>
      </w:r>
      <w:r>
        <w:br/>
      </w:r>
      <w:r>
        <w:t xml:space="preserve">Basel Committee on Banking Supervision. Guidelines on Core Principles for Effective Banking Supervision.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Banker in Iraq Baghdad</dc:title>
  <dc:creator/>
  <dc:language>en</dc:language>
  <cp:keywords/>
  <dcterms:created xsi:type="dcterms:W3CDTF">2026-07-29T14:07:35Z</dcterms:created>
  <dcterms:modified xsi:type="dcterms:W3CDTF">2026-07-29T14:07:35Z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